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31" w:rsidRDefault="00457F31" w:rsidP="00457F31">
      <w:pPr>
        <w:ind w:firstLine="720"/>
        <w:rPr>
          <w:lang w:val="en-US"/>
        </w:rPr>
      </w:pPr>
      <w:r>
        <w:rPr>
          <w:noProof/>
          <w:lang w:eastAsia="en-AU"/>
        </w:rPr>
        <w:drawing>
          <wp:anchor distT="0" distB="0" distL="114300" distR="114300" simplePos="0" relativeHeight="251659264" behindDoc="0" locked="0" layoutInCell="1" allowOverlap="1" wp14:anchorId="4D52A6B0" wp14:editId="76D19197">
            <wp:simplePos x="0" y="0"/>
            <wp:positionH relativeFrom="column">
              <wp:posOffset>4020242</wp:posOffset>
            </wp:positionH>
            <wp:positionV relativeFrom="paragraph">
              <wp:posOffset>-423156</wp:posOffset>
            </wp:positionV>
            <wp:extent cx="2242800" cy="525600"/>
            <wp:effectExtent l="0" t="0" r="5715" b="8255"/>
            <wp:wrapNone/>
            <wp:docPr id="1" name="Picture 1" descr="C:\Users\juliekjestrup\AppData\Local\Microsoft\Windows\InetCache\Content.Outlook\R7XEHRUQ\Logo on White Backgroun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kjestrup\AppData\Local\Microsoft\Windows\InetCache\Content.Outlook\R7XEHRUQ\Logo on White Background 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28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55F1" w:rsidRPr="00457F31" w:rsidRDefault="00245C9D" w:rsidP="00457F31">
      <w:pPr>
        <w:pStyle w:val="NoSpacing"/>
        <w:jc w:val="center"/>
        <w:rPr>
          <w:b/>
          <w:sz w:val="28"/>
          <w:szCs w:val="28"/>
          <w:lang w:val="en-US"/>
        </w:rPr>
      </w:pPr>
      <w:r w:rsidRPr="00457F31">
        <w:rPr>
          <w:b/>
          <w:sz w:val="28"/>
          <w:szCs w:val="28"/>
          <w:lang w:val="en-US"/>
        </w:rPr>
        <w:t xml:space="preserve">TARGET MARKET DETERMINATION </w:t>
      </w:r>
    </w:p>
    <w:p w:rsidR="00457F31" w:rsidRDefault="001144A0" w:rsidP="00457F31">
      <w:pPr>
        <w:pStyle w:val="NoSpacing"/>
        <w:jc w:val="center"/>
        <w:rPr>
          <w:b/>
          <w:sz w:val="24"/>
          <w:szCs w:val="24"/>
        </w:rPr>
      </w:pPr>
      <w:r>
        <w:rPr>
          <w:b/>
          <w:sz w:val="24"/>
          <w:szCs w:val="24"/>
        </w:rPr>
        <w:t>Fixed Rate</w:t>
      </w:r>
      <w:r w:rsidR="001D1DC7">
        <w:rPr>
          <w:b/>
          <w:sz w:val="24"/>
          <w:szCs w:val="24"/>
        </w:rPr>
        <w:t xml:space="preserve"> Home </w:t>
      </w:r>
      <w:r w:rsidR="00C22809">
        <w:rPr>
          <w:b/>
          <w:sz w:val="24"/>
          <w:szCs w:val="24"/>
        </w:rPr>
        <w:t>Loan (L</w:t>
      </w:r>
      <w:r>
        <w:rPr>
          <w:b/>
          <w:sz w:val="24"/>
          <w:szCs w:val="24"/>
        </w:rPr>
        <w:t>40, L41, L42, L31</w:t>
      </w:r>
      <w:r w:rsidR="001D1DC7">
        <w:rPr>
          <w:b/>
          <w:sz w:val="24"/>
          <w:szCs w:val="24"/>
        </w:rPr>
        <w:t>)</w:t>
      </w:r>
    </w:p>
    <w:p w:rsidR="002E2F09" w:rsidRDefault="002E2F09" w:rsidP="00457F31">
      <w:pPr>
        <w:pStyle w:val="NoSpacing"/>
        <w:jc w:val="center"/>
        <w:rPr>
          <w:b/>
          <w:sz w:val="24"/>
          <w:szCs w:val="24"/>
        </w:rPr>
      </w:pPr>
    </w:p>
    <w:p w:rsidR="00245C9D" w:rsidRPr="00245C9D" w:rsidRDefault="00245C9D" w:rsidP="00245C9D">
      <w:pPr>
        <w:pStyle w:val="ListParagraph"/>
        <w:numPr>
          <w:ilvl w:val="0"/>
          <w:numId w:val="3"/>
        </w:numPr>
        <w:rPr>
          <w:b/>
          <w:lang w:val="en-US"/>
        </w:rPr>
      </w:pPr>
      <w:r w:rsidRPr="00245C9D">
        <w:rPr>
          <w:rFonts w:eastAsia="Calibri" w:cs="Calibri"/>
          <w:b/>
          <w:spacing w:val="-1"/>
          <w:sz w:val="24"/>
          <w:szCs w:val="24"/>
        </w:rPr>
        <w:t>Introduction</w:t>
      </w:r>
    </w:p>
    <w:p w:rsidR="00245C9D" w:rsidRPr="004640DE" w:rsidRDefault="00245C9D" w:rsidP="00457F31">
      <w:pPr>
        <w:pStyle w:val="NoSpacing"/>
        <w:rPr>
          <w:b/>
        </w:rPr>
      </w:pPr>
      <w:r w:rsidRPr="004640DE">
        <w:rPr>
          <w:b/>
          <w:spacing w:val="-1"/>
        </w:rPr>
        <w:t>A</w:t>
      </w:r>
      <w:r w:rsidRPr="004640DE">
        <w:rPr>
          <w:b/>
        </w:rPr>
        <w:t>bout</w:t>
      </w:r>
      <w:r w:rsidRPr="004640DE">
        <w:rPr>
          <w:b/>
          <w:spacing w:val="-3"/>
        </w:rPr>
        <w:t xml:space="preserve"> </w:t>
      </w:r>
      <w:r w:rsidRPr="004640DE">
        <w:rPr>
          <w:b/>
          <w:spacing w:val="-2"/>
        </w:rPr>
        <w:t>t</w:t>
      </w:r>
      <w:r w:rsidRPr="004640DE">
        <w:rPr>
          <w:b/>
        </w:rPr>
        <w:t>h</w:t>
      </w:r>
      <w:r w:rsidRPr="004640DE">
        <w:rPr>
          <w:b/>
          <w:spacing w:val="-1"/>
        </w:rPr>
        <w:t>i</w:t>
      </w:r>
      <w:r w:rsidRPr="004640DE">
        <w:rPr>
          <w:b/>
        </w:rPr>
        <w:t>s</w:t>
      </w:r>
      <w:r w:rsidRPr="004640DE">
        <w:rPr>
          <w:b/>
          <w:spacing w:val="-1"/>
        </w:rPr>
        <w:t xml:space="preserve"> </w:t>
      </w:r>
      <w:r w:rsidRPr="004640DE">
        <w:rPr>
          <w:b/>
        </w:rPr>
        <w:t>docum</w:t>
      </w:r>
      <w:r w:rsidRPr="004640DE">
        <w:rPr>
          <w:b/>
          <w:spacing w:val="-1"/>
        </w:rPr>
        <w:t>e</w:t>
      </w:r>
      <w:r w:rsidRPr="004640DE">
        <w:rPr>
          <w:b/>
        </w:rPr>
        <w:t>nt</w:t>
      </w:r>
    </w:p>
    <w:p w:rsidR="00245C9D" w:rsidRPr="004640DE" w:rsidRDefault="00245C9D" w:rsidP="00457F31">
      <w:pPr>
        <w:pStyle w:val="NoSpacing"/>
      </w:pPr>
      <w:r w:rsidRPr="004640DE">
        <w:rPr>
          <w:spacing w:val="2"/>
        </w:rPr>
        <w:t>T</w:t>
      </w:r>
      <w:r w:rsidRPr="004640DE">
        <w:t>his</w:t>
      </w:r>
      <w:r w:rsidRPr="004640DE">
        <w:rPr>
          <w:spacing w:val="-4"/>
        </w:rPr>
        <w:t xml:space="preserve"> </w:t>
      </w:r>
      <w:r w:rsidRPr="004640DE">
        <w:t>t</w:t>
      </w:r>
      <w:r w:rsidRPr="004640DE">
        <w:rPr>
          <w:spacing w:val="-1"/>
        </w:rPr>
        <w:t>a</w:t>
      </w:r>
      <w:r w:rsidRPr="004640DE">
        <w:t>r</w:t>
      </w:r>
      <w:r w:rsidRPr="004640DE">
        <w:rPr>
          <w:spacing w:val="-4"/>
        </w:rPr>
        <w:t>g</w:t>
      </w:r>
      <w:r w:rsidRPr="004640DE">
        <w:t>et</w:t>
      </w:r>
      <w:r w:rsidRPr="004640DE">
        <w:rPr>
          <w:spacing w:val="-2"/>
        </w:rPr>
        <w:t xml:space="preserve"> </w:t>
      </w:r>
      <w:r w:rsidRPr="004640DE">
        <w:rPr>
          <w:spacing w:val="2"/>
        </w:rPr>
        <w:t>m</w:t>
      </w:r>
      <w:r w:rsidRPr="004640DE">
        <w:rPr>
          <w:spacing w:val="-5"/>
        </w:rPr>
        <w:t>a</w:t>
      </w:r>
      <w:r w:rsidRPr="004640DE">
        <w:t>rket</w:t>
      </w:r>
      <w:r w:rsidRPr="004640DE">
        <w:rPr>
          <w:spacing w:val="-2"/>
        </w:rPr>
        <w:t xml:space="preserve"> </w:t>
      </w:r>
      <w:r w:rsidRPr="004640DE">
        <w:t>det</w:t>
      </w:r>
      <w:r w:rsidRPr="004640DE">
        <w:rPr>
          <w:spacing w:val="-5"/>
        </w:rPr>
        <w:t>e</w:t>
      </w:r>
      <w:r w:rsidRPr="004640DE">
        <w:t>r</w:t>
      </w:r>
      <w:r w:rsidRPr="004640DE">
        <w:rPr>
          <w:spacing w:val="-3"/>
        </w:rPr>
        <w:t>m</w:t>
      </w:r>
      <w:r w:rsidRPr="004640DE">
        <w:rPr>
          <w:spacing w:val="2"/>
        </w:rPr>
        <w:t>i</w:t>
      </w:r>
      <w:r w:rsidRPr="004640DE">
        <w:t>n</w:t>
      </w:r>
      <w:r w:rsidRPr="004640DE">
        <w:rPr>
          <w:spacing w:val="-1"/>
        </w:rPr>
        <w:t>a</w:t>
      </w:r>
      <w:r w:rsidRPr="004640DE">
        <w:rPr>
          <w:spacing w:val="-5"/>
        </w:rPr>
        <w:t>t</w:t>
      </w:r>
      <w:r w:rsidRPr="004640DE">
        <w:rPr>
          <w:spacing w:val="2"/>
        </w:rPr>
        <w:t>i</w:t>
      </w:r>
      <w:r w:rsidRPr="004640DE">
        <w:rPr>
          <w:spacing w:val="-1"/>
        </w:rPr>
        <w:t>o</w:t>
      </w:r>
      <w:r w:rsidRPr="004640DE">
        <w:t>n (</w:t>
      </w:r>
      <w:r w:rsidRPr="004640DE">
        <w:rPr>
          <w:spacing w:val="-2"/>
        </w:rPr>
        <w:t>T</w:t>
      </w:r>
      <w:r w:rsidRPr="004640DE">
        <w:t>MD)</w:t>
      </w:r>
      <w:r w:rsidRPr="004640DE">
        <w:rPr>
          <w:spacing w:val="-1"/>
        </w:rPr>
        <w:t xml:space="preserve"> is a document of Horizon Credit Union Ltd trading as Horizon Bank </w:t>
      </w:r>
      <w:r w:rsidR="00D57634" w:rsidRPr="004640DE">
        <w:rPr>
          <w:b/>
          <w:spacing w:val="-1"/>
        </w:rPr>
        <w:t>[Horizon]</w:t>
      </w:r>
      <w:r w:rsidR="00D57634" w:rsidRPr="004640DE">
        <w:rPr>
          <w:spacing w:val="-1"/>
        </w:rPr>
        <w:t xml:space="preserve">. </w:t>
      </w:r>
      <w:r w:rsidRPr="004640DE">
        <w:t>This TMD seeks to give our customers, staff, product distributors, and other interested parties an understanding of the class of consumers for whom the product described has been designed, how the product is distributed, and related matters. This TMD is not, and should not be construed as, a full summary of the product’s Terms and Conditions. Nor is it a substitute for the provision of financial advice. When deciding about the product, consumers should refer to the pr</w:t>
      </w:r>
      <w:r w:rsidR="000522E4">
        <w:t xml:space="preserve">oduct’s Terms and Conditions set out in the loan contact. </w:t>
      </w:r>
      <w:r w:rsidRPr="004640DE">
        <w:t xml:space="preserve"> </w:t>
      </w:r>
    </w:p>
    <w:p w:rsidR="00245C9D" w:rsidRPr="00457F31" w:rsidRDefault="00245C9D" w:rsidP="00245C9D">
      <w:pPr>
        <w:pStyle w:val="Default"/>
        <w:rPr>
          <w:rFonts w:asciiTheme="minorHAnsi" w:hAnsiTheme="minorHAnsi"/>
          <w:color w:val="auto"/>
          <w:sz w:val="20"/>
          <w:szCs w:val="20"/>
        </w:rPr>
      </w:pPr>
    </w:p>
    <w:p w:rsidR="00245C9D" w:rsidRPr="004640DE" w:rsidRDefault="00245C9D" w:rsidP="00245C9D">
      <w:pPr>
        <w:pStyle w:val="Default"/>
        <w:rPr>
          <w:rFonts w:asciiTheme="minorHAnsi" w:hAnsiTheme="minorHAnsi"/>
          <w:b/>
          <w:bCs/>
          <w:sz w:val="22"/>
          <w:szCs w:val="22"/>
        </w:rPr>
      </w:pPr>
      <w:r w:rsidRPr="004640DE">
        <w:rPr>
          <w:rFonts w:asciiTheme="minorHAnsi" w:hAnsiTheme="minorHAnsi"/>
          <w:b/>
          <w:bCs/>
          <w:sz w:val="22"/>
          <w:szCs w:val="22"/>
        </w:rPr>
        <w:t xml:space="preserve">Product to which this Target Market Determination applies </w:t>
      </w:r>
    </w:p>
    <w:p w:rsidR="004640DE" w:rsidRDefault="00245C9D" w:rsidP="00972490">
      <w:pPr>
        <w:pStyle w:val="Default"/>
        <w:rPr>
          <w:rFonts w:asciiTheme="minorHAnsi" w:hAnsiTheme="minorHAnsi"/>
          <w:sz w:val="22"/>
          <w:szCs w:val="22"/>
        </w:rPr>
      </w:pPr>
      <w:r w:rsidRPr="004640DE">
        <w:rPr>
          <w:rFonts w:asciiTheme="minorHAnsi" w:hAnsiTheme="minorHAnsi"/>
          <w:sz w:val="22"/>
          <w:szCs w:val="22"/>
        </w:rPr>
        <w:t xml:space="preserve">This TMD applies to the </w:t>
      </w:r>
      <w:r w:rsidR="001144A0">
        <w:rPr>
          <w:rFonts w:asciiTheme="minorHAnsi" w:hAnsiTheme="minorHAnsi"/>
          <w:color w:val="auto"/>
          <w:sz w:val="22"/>
          <w:szCs w:val="22"/>
        </w:rPr>
        <w:t>Fixed Rate Home Loan (L40, L41, L42, L31</w:t>
      </w:r>
      <w:r w:rsidR="00B203EA">
        <w:rPr>
          <w:rFonts w:asciiTheme="minorHAnsi" w:hAnsiTheme="minorHAnsi"/>
          <w:color w:val="auto"/>
          <w:sz w:val="22"/>
          <w:szCs w:val="22"/>
        </w:rPr>
        <w:t>)</w:t>
      </w:r>
      <w:r w:rsidRPr="004640DE">
        <w:rPr>
          <w:rFonts w:asciiTheme="minorHAnsi" w:hAnsiTheme="minorHAnsi"/>
          <w:color w:val="auto"/>
          <w:sz w:val="22"/>
          <w:szCs w:val="22"/>
        </w:rPr>
        <w:t xml:space="preserve"> </w:t>
      </w:r>
      <w:r w:rsidRPr="004640DE">
        <w:rPr>
          <w:rFonts w:asciiTheme="minorHAnsi" w:hAnsiTheme="minorHAnsi"/>
          <w:sz w:val="22"/>
          <w:szCs w:val="22"/>
        </w:rPr>
        <w:t>[</w:t>
      </w:r>
      <w:r w:rsidRPr="004640DE">
        <w:rPr>
          <w:rFonts w:asciiTheme="minorHAnsi" w:hAnsiTheme="minorHAnsi"/>
          <w:b/>
          <w:bCs/>
          <w:sz w:val="22"/>
          <w:szCs w:val="22"/>
        </w:rPr>
        <w:t>the product</w:t>
      </w:r>
      <w:r w:rsidRPr="004640DE">
        <w:rPr>
          <w:rFonts w:asciiTheme="minorHAnsi" w:hAnsiTheme="minorHAnsi"/>
          <w:sz w:val="22"/>
          <w:szCs w:val="22"/>
        </w:rPr>
        <w:t xml:space="preserve">] referred to in </w:t>
      </w:r>
      <w:r w:rsidR="000522E4">
        <w:rPr>
          <w:rFonts w:asciiTheme="minorHAnsi" w:hAnsiTheme="minorHAnsi"/>
          <w:sz w:val="22"/>
          <w:szCs w:val="22"/>
        </w:rPr>
        <w:t>key fact sheet:</w:t>
      </w:r>
    </w:p>
    <w:p w:rsidR="000522E4" w:rsidRDefault="00EF4AD8" w:rsidP="00972490">
      <w:pPr>
        <w:pStyle w:val="Default"/>
        <w:rPr>
          <w:rFonts w:asciiTheme="minorHAnsi" w:hAnsiTheme="minorHAnsi"/>
          <w:color w:val="auto"/>
          <w:sz w:val="22"/>
          <w:szCs w:val="22"/>
        </w:rPr>
      </w:pPr>
      <w:hyperlink r:id="rId8" w:history="1">
        <w:r w:rsidR="000522E4" w:rsidRPr="001A77B1">
          <w:rPr>
            <w:rStyle w:val="Hyperlink"/>
            <w:rFonts w:asciiTheme="minorHAnsi" w:hAnsiTheme="minorHAnsi"/>
            <w:sz w:val="22"/>
            <w:szCs w:val="22"/>
          </w:rPr>
          <w:t>https://horizonbank.infocast.com.au/home-loan-key-fact-sheets.html</w:t>
        </w:r>
      </w:hyperlink>
    </w:p>
    <w:p w:rsidR="00245C9D" w:rsidRPr="004640DE" w:rsidRDefault="00245C9D" w:rsidP="00245C9D">
      <w:pPr>
        <w:pStyle w:val="Default"/>
        <w:rPr>
          <w:rFonts w:asciiTheme="minorHAnsi" w:hAnsiTheme="minorHAnsi"/>
          <w:sz w:val="22"/>
          <w:szCs w:val="22"/>
        </w:rPr>
      </w:pPr>
    </w:p>
    <w:p w:rsidR="00245C9D" w:rsidRPr="004640DE" w:rsidRDefault="00245C9D" w:rsidP="00245C9D">
      <w:pPr>
        <w:pStyle w:val="Default"/>
        <w:rPr>
          <w:rFonts w:asciiTheme="minorHAnsi" w:hAnsiTheme="minorHAnsi"/>
          <w:sz w:val="22"/>
          <w:szCs w:val="22"/>
        </w:rPr>
      </w:pPr>
      <w:r w:rsidRPr="004640DE">
        <w:rPr>
          <w:rFonts w:asciiTheme="minorHAnsi" w:hAnsiTheme="minorHAnsi"/>
          <w:b/>
          <w:bCs/>
          <w:sz w:val="22"/>
          <w:szCs w:val="22"/>
        </w:rPr>
        <w:t xml:space="preserve">Effective date of this Target Market Determination </w:t>
      </w:r>
    </w:p>
    <w:p w:rsidR="004640DE" w:rsidRPr="004640DE" w:rsidRDefault="00245C9D" w:rsidP="00245C9D">
      <w:pPr>
        <w:pStyle w:val="Default"/>
        <w:rPr>
          <w:rFonts w:asciiTheme="minorHAnsi" w:hAnsiTheme="minorHAnsi"/>
          <w:color w:val="4472C4" w:themeColor="accent5"/>
          <w:sz w:val="22"/>
          <w:szCs w:val="22"/>
        </w:rPr>
      </w:pPr>
      <w:r w:rsidRPr="004640DE">
        <w:rPr>
          <w:rFonts w:asciiTheme="minorHAnsi" w:hAnsiTheme="minorHAnsi"/>
          <w:sz w:val="22"/>
          <w:szCs w:val="22"/>
        </w:rPr>
        <w:t>This TMD is effective from 5</w:t>
      </w:r>
      <w:r w:rsidRPr="004640DE">
        <w:rPr>
          <w:rFonts w:asciiTheme="minorHAnsi" w:hAnsiTheme="minorHAnsi"/>
          <w:sz w:val="22"/>
          <w:szCs w:val="22"/>
          <w:vertAlign w:val="superscript"/>
        </w:rPr>
        <w:t>th</w:t>
      </w:r>
      <w:r w:rsidRPr="004640DE">
        <w:rPr>
          <w:rFonts w:asciiTheme="minorHAnsi" w:hAnsiTheme="minorHAnsi"/>
          <w:sz w:val="22"/>
          <w:szCs w:val="22"/>
        </w:rPr>
        <w:t xml:space="preserve"> October 2021</w:t>
      </w:r>
      <w:r w:rsidRPr="004640DE">
        <w:rPr>
          <w:rFonts w:asciiTheme="minorHAnsi" w:hAnsiTheme="minorHAnsi"/>
          <w:color w:val="4472C4" w:themeColor="accent5"/>
          <w:sz w:val="22"/>
          <w:szCs w:val="22"/>
        </w:rPr>
        <w:t xml:space="preserve"> </w:t>
      </w:r>
    </w:p>
    <w:p w:rsidR="00245C9D" w:rsidRPr="004640DE" w:rsidRDefault="00245C9D" w:rsidP="00245C9D">
      <w:pPr>
        <w:pStyle w:val="Default"/>
        <w:rPr>
          <w:rFonts w:asciiTheme="minorHAnsi" w:hAnsiTheme="minorHAnsi"/>
          <w:color w:val="4472C4" w:themeColor="accent5"/>
          <w:sz w:val="22"/>
          <w:szCs w:val="22"/>
        </w:rPr>
      </w:pPr>
    </w:p>
    <w:p w:rsidR="00D57634" w:rsidRPr="004640DE" w:rsidRDefault="00AE2230" w:rsidP="00D57634">
      <w:pPr>
        <w:pStyle w:val="Default"/>
        <w:numPr>
          <w:ilvl w:val="0"/>
          <w:numId w:val="3"/>
        </w:numPr>
        <w:rPr>
          <w:rFonts w:asciiTheme="minorHAnsi" w:hAnsiTheme="minorHAnsi"/>
          <w:b/>
          <w:bCs/>
        </w:rPr>
      </w:pPr>
      <w:r w:rsidRPr="004640DE">
        <w:rPr>
          <w:rFonts w:asciiTheme="minorHAnsi" w:hAnsiTheme="minorHAnsi"/>
          <w:b/>
          <w:bCs/>
        </w:rPr>
        <w:t xml:space="preserve"> Class of consumers comprising the product’s target market </w:t>
      </w:r>
    </w:p>
    <w:p w:rsidR="00AE2230" w:rsidRPr="004640DE" w:rsidRDefault="00AE2230" w:rsidP="00AE2230">
      <w:pPr>
        <w:pStyle w:val="Default"/>
        <w:rPr>
          <w:rFonts w:asciiTheme="minorHAnsi" w:hAnsiTheme="minorHAnsi"/>
          <w:sz w:val="22"/>
          <w:szCs w:val="22"/>
        </w:rPr>
      </w:pPr>
      <w:r w:rsidRPr="004640DE">
        <w:rPr>
          <w:rFonts w:asciiTheme="minorHAnsi" w:hAnsiTheme="minorHAnsi"/>
          <w:sz w:val="22"/>
          <w:szCs w:val="22"/>
        </w:rPr>
        <w:t xml:space="preserve">Below we summarise the class of consumers comprising the target market for the product based on the product’s key attributes and the consumer objectives, financial situations, and needs the product has been designed to meet. </w:t>
      </w:r>
    </w:p>
    <w:p w:rsidR="00AE2230" w:rsidRPr="004640DE" w:rsidRDefault="00AE2230" w:rsidP="00AE2230">
      <w:pPr>
        <w:pStyle w:val="Default"/>
        <w:rPr>
          <w:rFonts w:asciiTheme="minorHAnsi" w:hAnsiTheme="minorHAnsi"/>
          <w:sz w:val="22"/>
          <w:szCs w:val="22"/>
        </w:rPr>
      </w:pPr>
    </w:p>
    <w:p w:rsidR="00A3528C" w:rsidRPr="004640DE" w:rsidRDefault="00A3528C" w:rsidP="00435B64">
      <w:pPr>
        <w:autoSpaceDE w:val="0"/>
        <w:autoSpaceDN w:val="0"/>
        <w:adjustRightInd w:val="0"/>
        <w:spacing w:after="0" w:line="240" w:lineRule="auto"/>
        <w:rPr>
          <w:rFonts w:cs="Verdana"/>
          <w:color w:val="000000"/>
        </w:rPr>
      </w:pPr>
      <w:r w:rsidRPr="004640DE">
        <w:rPr>
          <w:rFonts w:cs="Verdana"/>
          <w:b/>
          <w:bCs/>
          <w:color w:val="000000"/>
        </w:rPr>
        <w:t xml:space="preserve">Class of consumers </w:t>
      </w:r>
    </w:p>
    <w:p w:rsidR="00C22809" w:rsidRDefault="00A3528C" w:rsidP="00A3528C">
      <w:pPr>
        <w:autoSpaceDE w:val="0"/>
        <w:autoSpaceDN w:val="0"/>
        <w:adjustRightInd w:val="0"/>
        <w:spacing w:after="0" w:line="240" w:lineRule="auto"/>
        <w:rPr>
          <w:rFonts w:cs="Verdana"/>
          <w:color w:val="000000"/>
        </w:rPr>
      </w:pPr>
      <w:r w:rsidRPr="004640DE">
        <w:rPr>
          <w:rFonts w:cs="Verdana"/>
          <w:color w:val="000000"/>
        </w:rPr>
        <w:t xml:space="preserve">The product has been designed for consumers who </w:t>
      </w:r>
      <w:r w:rsidR="00C22809">
        <w:rPr>
          <w:rFonts w:cs="Verdana"/>
          <w:color w:val="000000"/>
        </w:rPr>
        <w:t>require</w:t>
      </w:r>
      <w:r w:rsidR="00BC5109">
        <w:rPr>
          <w:rFonts w:cs="Verdana"/>
          <w:color w:val="000000"/>
        </w:rPr>
        <w:t xml:space="preserve"> a</w:t>
      </w:r>
      <w:r w:rsidR="001144A0">
        <w:rPr>
          <w:rFonts w:cs="Verdana"/>
          <w:color w:val="000000"/>
        </w:rPr>
        <w:t xml:space="preserve"> guaranteed rate and repayment</w:t>
      </w:r>
      <w:r w:rsidR="008B0C84">
        <w:rPr>
          <w:rFonts w:cs="Verdana"/>
          <w:color w:val="000000"/>
        </w:rPr>
        <w:t xml:space="preserve"> amount</w:t>
      </w:r>
      <w:r w:rsidR="001144A0">
        <w:rPr>
          <w:rFonts w:cs="Verdana"/>
          <w:color w:val="000000"/>
        </w:rPr>
        <w:t xml:space="preserve"> for the duration of the </w:t>
      </w:r>
      <w:r w:rsidR="00EF4AD8">
        <w:rPr>
          <w:rFonts w:cs="Verdana"/>
          <w:color w:val="000000"/>
        </w:rPr>
        <w:t>contracted fixed period</w:t>
      </w:r>
      <w:r w:rsidR="00B203EA">
        <w:rPr>
          <w:rFonts w:cs="Verdana"/>
          <w:color w:val="000000"/>
        </w:rPr>
        <w:t>.</w:t>
      </w:r>
      <w:r w:rsidR="00C22809">
        <w:rPr>
          <w:rFonts w:cs="Verdana"/>
          <w:color w:val="000000"/>
        </w:rPr>
        <w:t xml:space="preserve"> </w:t>
      </w:r>
    </w:p>
    <w:p w:rsidR="00B203EA" w:rsidRPr="004640DE" w:rsidRDefault="00B203EA" w:rsidP="00A3528C">
      <w:pPr>
        <w:autoSpaceDE w:val="0"/>
        <w:autoSpaceDN w:val="0"/>
        <w:adjustRightInd w:val="0"/>
        <w:spacing w:after="0" w:line="240" w:lineRule="auto"/>
        <w:rPr>
          <w:rFonts w:cs="Verdana"/>
          <w:color w:val="000000"/>
        </w:rPr>
      </w:pPr>
    </w:p>
    <w:p w:rsidR="00A3528C" w:rsidRDefault="00A3528C" w:rsidP="00A3528C">
      <w:pPr>
        <w:autoSpaceDE w:val="0"/>
        <w:autoSpaceDN w:val="0"/>
        <w:adjustRightInd w:val="0"/>
        <w:spacing w:after="0" w:line="240" w:lineRule="auto"/>
        <w:rPr>
          <w:b/>
          <w:bCs/>
        </w:rPr>
      </w:pPr>
      <w:r w:rsidRPr="004640DE">
        <w:rPr>
          <w:b/>
          <w:bCs/>
        </w:rPr>
        <w:t>Product description, key attributes, and eligibility criteria</w:t>
      </w:r>
    </w:p>
    <w:p w:rsidR="004640DE" w:rsidRPr="004640DE" w:rsidRDefault="004640DE" w:rsidP="00A3528C">
      <w:pPr>
        <w:autoSpaceDE w:val="0"/>
        <w:autoSpaceDN w:val="0"/>
        <w:adjustRightInd w:val="0"/>
        <w:spacing w:after="0" w:line="240" w:lineRule="auto"/>
        <w:rPr>
          <w:rFonts w:cs="Verdana"/>
          <w:color w:val="000000"/>
        </w:rPr>
      </w:pPr>
    </w:p>
    <w:tbl>
      <w:tblPr>
        <w:tblStyle w:val="TableGrid"/>
        <w:tblW w:w="0" w:type="auto"/>
        <w:tblLook w:val="04A0" w:firstRow="1" w:lastRow="0" w:firstColumn="1" w:lastColumn="0" w:noHBand="0" w:noVBand="1"/>
      </w:tblPr>
      <w:tblGrid>
        <w:gridCol w:w="2689"/>
        <w:gridCol w:w="3260"/>
        <w:gridCol w:w="3067"/>
      </w:tblGrid>
      <w:tr w:rsidR="00AE2230" w:rsidTr="004640DE">
        <w:tc>
          <w:tcPr>
            <w:tcW w:w="2689" w:type="dxa"/>
          </w:tcPr>
          <w:p w:rsidR="00AE2230" w:rsidRPr="004640DE" w:rsidRDefault="00AE2230" w:rsidP="00AE2230">
            <w:pPr>
              <w:pStyle w:val="Default"/>
              <w:jc w:val="center"/>
              <w:rPr>
                <w:rFonts w:asciiTheme="minorHAnsi" w:hAnsiTheme="minorHAnsi"/>
                <w:b/>
                <w:sz w:val="22"/>
                <w:szCs w:val="22"/>
              </w:rPr>
            </w:pPr>
            <w:r w:rsidRPr="004640DE">
              <w:rPr>
                <w:rFonts w:asciiTheme="minorHAnsi" w:hAnsiTheme="minorHAnsi"/>
                <w:b/>
                <w:sz w:val="22"/>
                <w:szCs w:val="22"/>
              </w:rPr>
              <w:t>Product description</w:t>
            </w:r>
          </w:p>
        </w:tc>
        <w:tc>
          <w:tcPr>
            <w:tcW w:w="3260" w:type="dxa"/>
          </w:tcPr>
          <w:p w:rsidR="00AE2230" w:rsidRPr="004640DE" w:rsidRDefault="00AE2230" w:rsidP="00AE2230">
            <w:pPr>
              <w:pStyle w:val="Default"/>
              <w:jc w:val="center"/>
              <w:rPr>
                <w:rFonts w:asciiTheme="minorHAnsi" w:hAnsiTheme="minorHAnsi"/>
                <w:b/>
                <w:sz w:val="22"/>
                <w:szCs w:val="22"/>
              </w:rPr>
            </w:pPr>
            <w:r w:rsidRPr="004640DE">
              <w:rPr>
                <w:rFonts w:asciiTheme="minorHAnsi" w:hAnsiTheme="minorHAnsi"/>
                <w:b/>
                <w:sz w:val="22"/>
                <w:szCs w:val="22"/>
              </w:rPr>
              <w:t>Key Attributes</w:t>
            </w:r>
          </w:p>
        </w:tc>
        <w:tc>
          <w:tcPr>
            <w:tcW w:w="3067" w:type="dxa"/>
          </w:tcPr>
          <w:p w:rsidR="00AE2230" w:rsidRPr="004640DE" w:rsidRDefault="00AE2230" w:rsidP="00AE2230">
            <w:pPr>
              <w:pStyle w:val="Default"/>
              <w:jc w:val="center"/>
              <w:rPr>
                <w:rFonts w:asciiTheme="minorHAnsi" w:hAnsiTheme="minorHAnsi"/>
                <w:b/>
                <w:sz w:val="22"/>
                <w:szCs w:val="22"/>
              </w:rPr>
            </w:pPr>
            <w:r w:rsidRPr="004640DE">
              <w:rPr>
                <w:rFonts w:asciiTheme="minorHAnsi" w:hAnsiTheme="minorHAnsi"/>
                <w:b/>
                <w:sz w:val="22"/>
                <w:szCs w:val="22"/>
              </w:rPr>
              <w:t>Eligibility Criteria</w:t>
            </w:r>
          </w:p>
        </w:tc>
      </w:tr>
      <w:tr w:rsidR="00AE2230" w:rsidTr="004640DE">
        <w:tc>
          <w:tcPr>
            <w:tcW w:w="2689" w:type="dxa"/>
          </w:tcPr>
          <w:p w:rsidR="00AE2230" w:rsidRPr="004640DE" w:rsidRDefault="00C22809" w:rsidP="00EA70AA">
            <w:pPr>
              <w:shd w:val="clear" w:color="auto" w:fill="FFFFFF"/>
              <w:spacing w:after="100" w:afterAutospacing="1"/>
              <w:outlineLvl w:val="4"/>
              <w:rPr>
                <w:color w:val="0070C0"/>
              </w:rPr>
            </w:pPr>
            <w:r>
              <w:rPr>
                <w:rFonts w:eastAsia="Times New Roman" w:cs="Times New Roman"/>
                <w:lang w:eastAsia="en-AU"/>
              </w:rPr>
              <w:t xml:space="preserve">A </w:t>
            </w:r>
            <w:r w:rsidR="001144A0">
              <w:rPr>
                <w:rFonts w:eastAsia="Times New Roman" w:cs="Times New Roman"/>
                <w:lang w:eastAsia="en-AU"/>
              </w:rPr>
              <w:t xml:space="preserve">fixed </w:t>
            </w:r>
            <w:r w:rsidR="00B203EA">
              <w:rPr>
                <w:rFonts w:eastAsia="Times New Roman" w:cs="Times New Roman"/>
                <w:lang w:eastAsia="en-AU"/>
              </w:rPr>
              <w:t xml:space="preserve">rate </w:t>
            </w:r>
            <w:r>
              <w:rPr>
                <w:rFonts w:eastAsia="Times New Roman" w:cs="Times New Roman"/>
                <w:lang w:eastAsia="en-AU"/>
              </w:rPr>
              <w:t>home loan for loans over $</w:t>
            </w:r>
            <w:r w:rsidR="001144A0">
              <w:rPr>
                <w:rFonts w:eastAsia="Times New Roman" w:cs="Times New Roman"/>
                <w:lang w:eastAsia="en-AU"/>
              </w:rPr>
              <w:t>50</w:t>
            </w:r>
            <w:r>
              <w:rPr>
                <w:rFonts w:eastAsia="Times New Roman" w:cs="Times New Roman"/>
                <w:lang w:eastAsia="en-AU"/>
              </w:rPr>
              <w:t xml:space="preserve">,000. </w:t>
            </w:r>
          </w:p>
          <w:p w:rsidR="00AE2230" w:rsidRPr="004640DE" w:rsidRDefault="00AE2230" w:rsidP="00AE2230">
            <w:pPr>
              <w:pStyle w:val="Default"/>
              <w:rPr>
                <w:rFonts w:asciiTheme="minorHAnsi" w:hAnsiTheme="minorHAnsi"/>
                <w:color w:val="0070C0"/>
                <w:sz w:val="22"/>
                <w:szCs w:val="22"/>
              </w:rPr>
            </w:pPr>
          </w:p>
          <w:p w:rsidR="00F3097E" w:rsidRPr="004640DE" w:rsidRDefault="00F3097E" w:rsidP="00AE2230">
            <w:pPr>
              <w:pStyle w:val="Default"/>
              <w:rPr>
                <w:rFonts w:asciiTheme="minorHAnsi" w:hAnsiTheme="minorHAnsi"/>
                <w:color w:val="0070C0"/>
                <w:sz w:val="22"/>
                <w:szCs w:val="22"/>
              </w:rPr>
            </w:pPr>
          </w:p>
          <w:p w:rsidR="00F3097E" w:rsidRPr="004640DE" w:rsidRDefault="00F3097E" w:rsidP="00AE2230">
            <w:pPr>
              <w:pStyle w:val="Default"/>
              <w:rPr>
                <w:rFonts w:asciiTheme="minorHAnsi" w:hAnsiTheme="minorHAnsi"/>
                <w:color w:val="0070C0"/>
                <w:sz w:val="22"/>
                <w:szCs w:val="22"/>
              </w:rPr>
            </w:pPr>
          </w:p>
          <w:p w:rsidR="00F3097E" w:rsidRPr="004640DE" w:rsidRDefault="00F3097E" w:rsidP="00AE2230">
            <w:pPr>
              <w:pStyle w:val="Default"/>
              <w:rPr>
                <w:rFonts w:asciiTheme="minorHAnsi" w:hAnsiTheme="minorHAnsi"/>
                <w:color w:val="0070C0"/>
                <w:sz w:val="22"/>
                <w:szCs w:val="22"/>
              </w:rPr>
            </w:pPr>
          </w:p>
          <w:p w:rsidR="00F3097E" w:rsidRPr="004640DE" w:rsidRDefault="00F3097E" w:rsidP="00AE2230">
            <w:pPr>
              <w:pStyle w:val="Default"/>
              <w:rPr>
                <w:rFonts w:asciiTheme="minorHAnsi" w:hAnsiTheme="minorHAnsi"/>
                <w:color w:val="0070C0"/>
                <w:sz w:val="22"/>
                <w:szCs w:val="22"/>
              </w:rPr>
            </w:pPr>
          </w:p>
          <w:p w:rsidR="00F3097E" w:rsidRPr="004640DE" w:rsidRDefault="00F3097E" w:rsidP="00AE2230">
            <w:pPr>
              <w:pStyle w:val="Default"/>
              <w:rPr>
                <w:rFonts w:asciiTheme="minorHAnsi" w:hAnsiTheme="minorHAnsi"/>
                <w:color w:val="0070C0"/>
                <w:sz w:val="22"/>
                <w:szCs w:val="22"/>
              </w:rPr>
            </w:pPr>
          </w:p>
          <w:p w:rsidR="00AE2230" w:rsidRPr="004640DE" w:rsidRDefault="00AE2230" w:rsidP="00AE2230">
            <w:pPr>
              <w:pStyle w:val="Default"/>
              <w:rPr>
                <w:rFonts w:asciiTheme="minorHAnsi" w:hAnsiTheme="minorHAnsi"/>
                <w:color w:val="0070C0"/>
                <w:sz w:val="22"/>
                <w:szCs w:val="22"/>
              </w:rPr>
            </w:pPr>
          </w:p>
          <w:p w:rsidR="00AE2230" w:rsidRPr="004640DE" w:rsidRDefault="00AE2230" w:rsidP="00AE2230">
            <w:pPr>
              <w:pStyle w:val="Default"/>
              <w:rPr>
                <w:rFonts w:asciiTheme="minorHAnsi" w:hAnsiTheme="minorHAnsi"/>
                <w:color w:val="0070C0"/>
                <w:sz w:val="22"/>
                <w:szCs w:val="22"/>
              </w:rPr>
            </w:pPr>
          </w:p>
        </w:tc>
        <w:tc>
          <w:tcPr>
            <w:tcW w:w="3260" w:type="dxa"/>
          </w:tcPr>
          <w:p w:rsidR="00C22809" w:rsidRDefault="001144A0" w:rsidP="00B72A38">
            <w:pPr>
              <w:pStyle w:val="Default"/>
              <w:rPr>
                <w:rFonts w:asciiTheme="minorHAnsi" w:hAnsiTheme="minorHAnsi"/>
                <w:sz w:val="22"/>
                <w:szCs w:val="22"/>
              </w:rPr>
            </w:pPr>
            <w:r>
              <w:rPr>
                <w:rFonts w:asciiTheme="minorHAnsi" w:hAnsiTheme="minorHAnsi"/>
                <w:sz w:val="22"/>
                <w:szCs w:val="22"/>
              </w:rPr>
              <w:t xml:space="preserve">Guaranteed rate for the duration of the </w:t>
            </w:r>
            <w:r w:rsidR="00EF4AD8">
              <w:rPr>
                <w:rFonts w:asciiTheme="minorHAnsi" w:hAnsiTheme="minorHAnsi"/>
                <w:sz w:val="22"/>
                <w:szCs w:val="22"/>
              </w:rPr>
              <w:t>contracted period</w:t>
            </w:r>
          </w:p>
          <w:p w:rsidR="001144A0" w:rsidRDefault="001144A0" w:rsidP="00B72A38">
            <w:pPr>
              <w:pStyle w:val="Default"/>
              <w:rPr>
                <w:rFonts w:asciiTheme="minorHAnsi" w:hAnsiTheme="minorHAnsi"/>
                <w:sz w:val="22"/>
                <w:szCs w:val="22"/>
              </w:rPr>
            </w:pPr>
          </w:p>
          <w:p w:rsidR="001144A0" w:rsidRDefault="001144A0" w:rsidP="00B72A38">
            <w:pPr>
              <w:pStyle w:val="Default"/>
              <w:rPr>
                <w:rFonts w:asciiTheme="minorHAnsi" w:hAnsiTheme="minorHAnsi"/>
                <w:sz w:val="22"/>
                <w:szCs w:val="22"/>
              </w:rPr>
            </w:pPr>
            <w:r>
              <w:rPr>
                <w:rFonts w:asciiTheme="minorHAnsi" w:hAnsiTheme="minorHAnsi"/>
                <w:sz w:val="22"/>
                <w:szCs w:val="22"/>
              </w:rPr>
              <w:t>Fixed period of 1, 2, 3 or 5 years</w:t>
            </w:r>
          </w:p>
          <w:p w:rsidR="00C22809" w:rsidRDefault="00C22809" w:rsidP="00B72A38">
            <w:pPr>
              <w:pStyle w:val="Default"/>
              <w:rPr>
                <w:rFonts w:asciiTheme="minorHAnsi" w:hAnsiTheme="minorHAnsi"/>
                <w:sz w:val="22"/>
                <w:szCs w:val="22"/>
              </w:rPr>
            </w:pPr>
          </w:p>
          <w:p w:rsidR="001144A0" w:rsidRDefault="001144A0" w:rsidP="001144A0">
            <w:pPr>
              <w:pStyle w:val="Default"/>
              <w:rPr>
                <w:rFonts w:asciiTheme="minorHAnsi" w:hAnsiTheme="minorHAnsi"/>
                <w:sz w:val="22"/>
                <w:szCs w:val="22"/>
              </w:rPr>
            </w:pPr>
            <w:r>
              <w:rPr>
                <w:rFonts w:asciiTheme="minorHAnsi" w:hAnsiTheme="minorHAnsi"/>
                <w:sz w:val="22"/>
                <w:szCs w:val="22"/>
              </w:rPr>
              <w:t>Establishment fee $350</w:t>
            </w:r>
          </w:p>
          <w:p w:rsidR="001144A0" w:rsidRDefault="001144A0" w:rsidP="001144A0">
            <w:pPr>
              <w:pStyle w:val="Default"/>
              <w:rPr>
                <w:rFonts w:asciiTheme="minorHAnsi" w:hAnsiTheme="minorHAnsi"/>
                <w:sz w:val="22"/>
                <w:szCs w:val="22"/>
              </w:rPr>
            </w:pPr>
          </w:p>
          <w:p w:rsidR="001144A0" w:rsidRDefault="001144A0" w:rsidP="001144A0">
            <w:pPr>
              <w:pStyle w:val="Default"/>
              <w:rPr>
                <w:rFonts w:asciiTheme="minorHAnsi" w:hAnsiTheme="minorHAnsi"/>
                <w:sz w:val="22"/>
                <w:szCs w:val="22"/>
              </w:rPr>
            </w:pPr>
            <w:r>
              <w:rPr>
                <w:rFonts w:asciiTheme="minorHAnsi" w:hAnsiTheme="minorHAnsi"/>
                <w:sz w:val="22"/>
                <w:szCs w:val="22"/>
              </w:rPr>
              <w:t>No monthly Administration fee</w:t>
            </w:r>
          </w:p>
          <w:p w:rsidR="001144A0" w:rsidRDefault="001144A0" w:rsidP="001144A0">
            <w:pPr>
              <w:pStyle w:val="Default"/>
              <w:rPr>
                <w:rFonts w:asciiTheme="minorHAnsi" w:hAnsiTheme="minorHAnsi"/>
                <w:sz w:val="22"/>
                <w:szCs w:val="22"/>
              </w:rPr>
            </w:pPr>
          </w:p>
          <w:p w:rsidR="001144A0" w:rsidRDefault="001144A0" w:rsidP="001144A0">
            <w:pPr>
              <w:pStyle w:val="Default"/>
              <w:rPr>
                <w:rFonts w:asciiTheme="minorHAnsi" w:hAnsiTheme="minorHAnsi"/>
                <w:sz w:val="22"/>
                <w:szCs w:val="22"/>
              </w:rPr>
            </w:pPr>
            <w:r>
              <w:rPr>
                <w:rFonts w:asciiTheme="minorHAnsi" w:hAnsiTheme="minorHAnsi"/>
                <w:sz w:val="22"/>
                <w:szCs w:val="22"/>
              </w:rPr>
              <w:t>100% offset account available</w:t>
            </w:r>
          </w:p>
          <w:p w:rsidR="001144A0" w:rsidRDefault="001144A0" w:rsidP="001144A0">
            <w:pPr>
              <w:pStyle w:val="Default"/>
              <w:rPr>
                <w:rFonts w:asciiTheme="minorHAnsi" w:hAnsiTheme="minorHAnsi"/>
                <w:sz w:val="22"/>
                <w:szCs w:val="22"/>
              </w:rPr>
            </w:pPr>
          </w:p>
          <w:p w:rsidR="00C22809" w:rsidRDefault="008B0C84" w:rsidP="00B72A38">
            <w:pPr>
              <w:pStyle w:val="Default"/>
              <w:rPr>
                <w:rFonts w:asciiTheme="minorHAnsi" w:hAnsiTheme="minorHAnsi"/>
                <w:color w:val="auto"/>
                <w:sz w:val="22"/>
                <w:szCs w:val="22"/>
                <w:shd w:val="clear" w:color="auto" w:fill="FFFFFF"/>
              </w:rPr>
            </w:pPr>
            <w:r w:rsidRPr="008B0C84">
              <w:rPr>
                <w:rFonts w:asciiTheme="minorHAnsi" w:hAnsiTheme="minorHAnsi"/>
                <w:color w:val="auto"/>
                <w:sz w:val="22"/>
                <w:szCs w:val="22"/>
                <w:shd w:val="clear" w:color="auto" w:fill="FFFFFF"/>
              </w:rPr>
              <w:t>Break costs may apply, if over a 12 month period, $30,000 or more is repaid over and above scheduled repayment amounts</w:t>
            </w:r>
          </w:p>
          <w:p w:rsidR="008B0C84" w:rsidRDefault="008B0C84" w:rsidP="008B0C84">
            <w:pPr>
              <w:pStyle w:val="Default"/>
              <w:rPr>
                <w:rFonts w:asciiTheme="minorHAnsi" w:hAnsiTheme="minorHAnsi"/>
                <w:sz w:val="22"/>
                <w:szCs w:val="22"/>
              </w:rPr>
            </w:pPr>
            <w:r>
              <w:rPr>
                <w:rFonts w:asciiTheme="minorHAnsi" w:hAnsiTheme="minorHAnsi"/>
                <w:sz w:val="22"/>
                <w:szCs w:val="22"/>
              </w:rPr>
              <w:lastRenderedPageBreak/>
              <w:t>No cost redraw facility</w:t>
            </w:r>
          </w:p>
          <w:p w:rsidR="008B0C84" w:rsidRPr="008B0C84" w:rsidRDefault="008B0C84" w:rsidP="00B72A38">
            <w:pPr>
              <w:pStyle w:val="Default"/>
              <w:rPr>
                <w:rFonts w:asciiTheme="minorHAnsi" w:hAnsiTheme="minorHAnsi"/>
                <w:color w:val="auto"/>
                <w:sz w:val="22"/>
                <w:szCs w:val="22"/>
              </w:rPr>
            </w:pPr>
          </w:p>
          <w:p w:rsidR="00A04F3F" w:rsidRPr="008B0C84" w:rsidRDefault="008B0C84" w:rsidP="008B0C84">
            <w:pPr>
              <w:pStyle w:val="Default"/>
              <w:rPr>
                <w:rFonts w:asciiTheme="minorHAnsi" w:hAnsiTheme="minorHAnsi"/>
                <w:sz w:val="22"/>
                <w:szCs w:val="22"/>
              </w:rPr>
            </w:pPr>
            <w:r>
              <w:rPr>
                <w:rFonts w:asciiTheme="minorHAnsi" w:hAnsiTheme="minorHAnsi"/>
                <w:color w:val="auto"/>
                <w:sz w:val="22"/>
                <w:szCs w:val="22"/>
                <w:shd w:val="clear" w:color="auto" w:fill="FFFFFF"/>
              </w:rPr>
              <w:t>E</w:t>
            </w:r>
            <w:r w:rsidRPr="008B0C84">
              <w:rPr>
                <w:rFonts w:asciiTheme="minorHAnsi" w:hAnsiTheme="minorHAnsi"/>
                <w:color w:val="auto"/>
                <w:sz w:val="22"/>
                <w:szCs w:val="22"/>
                <w:shd w:val="clear" w:color="auto" w:fill="FFFFFF"/>
              </w:rPr>
              <w:t xml:space="preserve">arly payout fee payable if loan </w:t>
            </w:r>
            <w:r>
              <w:rPr>
                <w:rFonts w:asciiTheme="minorHAnsi" w:hAnsiTheme="minorHAnsi"/>
                <w:color w:val="auto"/>
                <w:sz w:val="22"/>
                <w:szCs w:val="22"/>
                <w:shd w:val="clear" w:color="auto" w:fill="FFFFFF"/>
              </w:rPr>
              <w:t xml:space="preserve">paid out </w:t>
            </w:r>
            <w:r w:rsidRPr="008B0C84">
              <w:rPr>
                <w:rFonts w:asciiTheme="minorHAnsi" w:hAnsiTheme="minorHAnsi"/>
                <w:color w:val="auto"/>
                <w:sz w:val="22"/>
                <w:szCs w:val="22"/>
                <w:shd w:val="clear" w:color="auto" w:fill="FFFFFF"/>
              </w:rPr>
              <w:t>before the end of its fixed interest rate period</w:t>
            </w:r>
          </w:p>
        </w:tc>
        <w:tc>
          <w:tcPr>
            <w:tcW w:w="3067" w:type="dxa"/>
          </w:tcPr>
          <w:p w:rsidR="006646FE" w:rsidRPr="00C22809" w:rsidRDefault="006646FE" w:rsidP="00AE2230">
            <w:pPr>
              <w:pStyle w:val="Default"/>
              <w:rPr>
                <w:rFonts w:asciiTheme="minorHAnsi" w:hAnsiTheme="minorHAnsi"/>
                <w:color w:val="auto"/>
                <w:sz w:val="22"/>
                <w:szCs w:val="22"/>
              </w:rPr>
            </w:pPr>
            <w:r w:rsidRPr="00C22809">
              <w:rPr>
                <w:rFonts w:asciiTheme="minorHAnsi" w:hAnsiTheme="minorHAnsi"/>
                <w:color w:val="auto"/>
                <w:sz w:val="22"/>
                <w:szCs w:val="22"/>
              </w:rPr>
              <w:lastRenderedPageBreak/>
              <w:t>Be a member of Horizon Bank</w:t>
            </w:r>
          </w:p>
          <w:p w:rsidR="006646FE" w:rsidRPr="00C22809" w:rsidRDefault="006646FE" w:rsidP="00AE2230">
            <w:pPr>
              <w:pStyle w:val="Default"/>
              <w:rPr>
                <w:rFonts w:asciiTheme="minorHAnsi" w:hAnsiTheme="minorHAnsi"/>
                <w:color w:val="auto"/>
                <w:sz w:val="22"/>
                <w:szCs w:val="22"/>
              </w:rPr>
            </w:pPr>
          </w:p>
          <w:p w:rsidR="00AE2230" w:rsidRPr="00C22809" w:rsidRDefault="00B72A38" w:rsidP="00AE2230">
            <w:pPr>
              <w:pStyle w:val="Default"/>
              <w:rPr>
                <w:rFonts w:asciiTheme="minorHAnsi" w:hAnsiTheme="minorHAnsi"/>
                <w:color w:val="auto"/>
                <w:sz w:val="22"/>
                <w:szCs w:val="22"/>
              </w:rPr>
            </w:pPr>
            <w:r w:rsidRPr="00C22809">
              <w:rPr>
                <w:rFonts w:asciiTheme="minorHAnsi" w:hAnsiTheme="minorHAnsi"/>
                <w:color w:val="auto"/>
                <w:sz w:val="22"/>
                <w:szCs w:val="22"/>
              </w:rPr>
              <w:t>Minimum age of 1</w:t>
            </w:r>
            <w:r w:rsidR="00800864" w:rsidRPr="00C22809">
              <w:rPr>
                <w:rFonts w:asciiTheme="minorHAnsi" w:hAnsiTheme="minorHAnsi"/>
                <w:color w:val="auto"/>
                <w:sz w:val="22"/>
                <w:szCs w:val="22"/>
              </w:rPr>
              <w:t>8</w:t>
            </w:r>
            <w:r w:rsidRPr="00C22809">
              <w:rPr>
                <w:rFonts w:asciiTheme="minorHAnsi" w:hAnsiTheme="minorHAnsi"/>
                <w:color w:val="auto"/>
                <w:sz w:val="22"/>
                <w:szCs w:val="22"/>
              </w:rPr>
              <w:t>yrs</w:t>
            </w:r>
            <w:r w:rsidR="00F3097E" w:rsidRPr="00C22809">
              <w:rPr>
                <w:rFonts w:asciiTheme="minorHAnsi" w:hAnsiTheme="minorHAnsi"/>
                <w:color w:val="auto"/>
                <w:sz w:val="22"/>
                <w:szCs w:val="22"/>
              </w:rPr>
              <w:t xml:space="preserve"> </w:t>
            </w:r>
          </w:p>
          <w:p w:rsidR="00B72A38" w:rsidRPr="00C22809" w:rsidRDefault="00B72A38" w:rsidP="00AE2230">
            <w:pPr>
              <w:pStyle w:val="Default"/>
              <w:rPr>
                <w:rFonts w:asciiTheme="minorHAnsi" w:hAnsiTheme="minorHAnsi"/>
                <w:color w:val="auto"/>
                <w:sz w:val="22"/>
                <w:szCs w:val="22"/>
              </w:rPr>
            </w:pPr>
          </w:p>
          <w:p w:rsidR="00EA70AA" w:rsidRPr="00C22809" w:rsidRDefault="006646FE" w:rsidP="006646FE">
            <w:pPr>
              <w:pStyle w:val="Default"/>
              <w:rPr>
                <w:rFonts w:asciiTheme="minorHAnsi" w:hAnsiTheme="minorHAnsi"/>
                <w:color w:val="auto"/>
                <w:sz w:val="22"/>
                <w:szCs w:val="22"/>
              </w:rPr>
            </w:pPr>
            <w:r w:rsidRPr="00C22809">
              <w:rPr>
                <w:rFonts w:asciiTheme="minorHAnsi" w:hAnsiTheme="minorHAnsi"/>
                <w:color w:val="auto"/>
                <w:sz w:val="22"/>
                <w:szCs w:val="22"/>
              </w:rPr>
              <w:t>Be a resident of Australia</w:t>
            </w:r>
          </w:p>
          <w:p w:rsidR="00EA70AA" w:rsidRPr="00C22809" w:rsidRDefault="00EA70AA" w:rsidP="006646FE">
            <w:pPr>
              <w:pStyle w:val="Default"/>
              <w:rPr>
                <w:rFonts w:asciiTheme="minorHAnsi" w:hAnsiTheme="minorHAnsi"/>
                <w:color w:val="auto"/>
                <w:sz w:val="22"/>
                <w:szCs w:val="22"/>
              </w:rPr>
            </w:pPr>
          </w:p>
          <w:p w:rsidR="00EA70AA" w:rsidRPr="00C22809" w:rsidRDefault="00EA70AA" w:rsidP="006646FE">
            <w:pPr>
              <w:pStyle w:val="Default"/>
              <w:rPr>
                <w:rFonts w:asciiTheme="minorHAnsi" w:hAnsiTheme="minorHAnsi"/>
                <w:color w:val="auto"/>
                <w:sz w:val="22"/>
                <w:szCs w:val="22"/>
              </w:rPr>
            </w:pPr>
            <w:r w:rsidRPr="00C22809">
              <w:rPr>
                <w:rFonts w:asciiTheme="minorHAnsi" w:hAnsiTheme="minorHAnsi"/>
                <w:color w:val="auto"/>
                <w:sz w:val="22"/>
                <w:szCs w:val="22"/>
              </w:rPr>
              <w:t>Meet Horizon Bank Credit risk criteria</w:t>
            </w:r>
          </w:p>
          <w:p w:rsidR="00B72A38" w:rsidRPr="00C22809" w:rsidRDefault="00B72A38" w:rsidP="00AE2230">
            <w:pPr>
              <w:pStyle w:val="Default"/>
              <w:rPr>
                <w:rFonts w:asciiTheme="minorHAnsi" w:hAnsiTheme="minorHAnsi"/>
                <w:color w:val="auto"/>
                <w:sz w:val="22"/>
                <w:szCs w:val="22"/>
              </w:rPr>
            </w:pPr>
          </w:p>
          <w:p w:rsidR="001144A0" w:rsidRDefault="001144A0" w:rsidP="001144A0">
            <w:pPr>
              <w:pStyle w:val="Default"/>
              <w:rPr>
                <w:rFonts w:asciiTheme="minorHAnsi" w:hAnsiTheme="minorHAnsi"/>
                <w:color w:val="auto"/>
                <w:sz w:val="22"/>
                <w:szCs w:val="22"/>
                <w:shd w:val="clear" w:color="auto" w:fill="FFFFFF"/>
              </w:rPr>
            </w:pPr>
            <w:r w:rsidRPr="00C22809">
              <w:rPr>
                <w:rFonts w:asciiTheme="minorHAnsi" w:hAnsiTheme="minorHAnsi"/>
                <w:color w:val="auto"/>
                <w:sz w:val="22"/>
                <w:szCs w:val="22"/>
              </w:rPr>
              <w:t xml:space="preserve">Borrowing ability up to </w:t>
            </w:r>
            <w:r w:rsidRPr="00C22809">
              <w:rPr>
                <w:rFonts w:asciiTheme="minorHAnsi" w:hAnsiTheme="minorHAnsi"/>
                <w:color w:val="auto"/>
                <w:sz w:val="22"/>
                <w:szCs w:val="22"/>
                <w:shd w:val="clear" w:color="auto" w:fill="FFFFFF"/>
              </w:rPr>
              <w:t>80% of property value, or 95% of property value with mortgage insurance</w:t>
            </w:r>
          </w:p>
          <w:p w:rsidR="00C22809" w:rsidRPr="00C22809" w:rsidRDefault="00C22809" w:rsidP="00AE2230">
            <w:pPr>
              <w:pStyle w:val="Default"/>
              <w:rPr>
                <w:rFonts w:asciiTheme="minorHAnsi" w:hAnsiTheme="minorHAnsi"/>
                <w:color w:val="0070C0"/>
                <w:sz w:val="22"/>
                <w:szCs w:val="22"/>
              </w:rPr>
            </w:pPr>
          </w:p>
        </w:tc>
      </w:tr>
    </w:tbl>
    <w:p w:rsidR="00F3097E" w:rsidRDefault="00F3097E" w:rsidP="00AE2230">
      <w:pPr>
        <w:pStyle w:val="Default"/>
        <w:rPr>
          <w:rFonts w:asciiTheme="minorHAnsi" w:hAnsiTheme="minorHAnsi"/>
          <w:b/>
          <w:bCs/>
          <w:sz w:val="20"/>
          <w:szCs w:val="20"/>
        </w:rPr>
      </w:pPr>
    </w:p>
    <w:p w:rsidR="00AE2230" w:rsidRPr="004640DE" w:rsidRDefault="00AE2230" w:rsidP="00AE2230">
      <w:pPr>
        <w:pStyle w:val="Default"/>
        <w:rPr>
          <w:rFonts w:asciiTheme="minorHAnsi" w:hAnsiTheme="minorHAnsi"/>
          <w:sz w:val="22"/>
          <w:szCs w:val="22"/>
        </w:rPr>
      </w:pPr>
      <w:r w:rsidRPr="004640DE">
        <w:rPr>
          <w:rFonts w:asciiTheme="minorHAnsi" w:hAnsiTheme="minorHAnsi"/>
          <w:b/>
          <w:bCs/>
          <w:sz w:val="22"/>
          <w:szCs w:val="22"/>
        </w:rPr>
        <w:t xml:space="preserve">Objectives, financial situations, needs </w:t>
      </w:r>
    </w:p>
    <w:p w:rsidR="00AE2230" w:rsidRPr="004640DE" w:rsidRDefault="00AE2230" w:rsidP="00AE2230">
      <w:pPr>
        <w:pStyle w:val="Default"/>
        <w:rPr>
          <w:rFonts w:asciiTheme="minorHAnsi" w:hAnsiTheme="minorHAnsi"/>
          <w:sz w:val="22"/>
          <w:szCs w:val="22"/>
        </w:rPr>
      </w:pPr>
      <w:r w:rsidRPr="004640DE">
        <w:rPr>
          <w:rFonts w:asciiTheme="minorHAnsi" w:hAnsiTheme="minorHAnsi"/>
          <w:sz w:val="22"/>
          <w:szCs w:val="22"/>
        </w:rPr>
        <w:t>The product has been designed for individuals</w:t>
      </w:r>
      <w:r w:rsidR="00F3097E" w:rsidRPr="004640DE">
        <w:rPr>
          <w:rFonts w:asciiTheme="minorHAnsi" w:hAnsiTheme="minorHAnsi"/>
          <w:sz w:val="22"/>
          <w:szCs w:val="22"/>
        </w:rPr>
        <w:t xml:space="preserve"> (outlined below)</w:t>
      </w:r>
      <w:r w:rsidRPr="004640DE">
        <w:rPr>
          <w:rFonts w:asciiTheme="minorHAnsi" w:hAnsiTheme="minorHAnsi"/>
          <w:sz w:val="22"/>
          <w:szCs w:val="22"/>
        </w:rPr>
        <w:t xml:space="preserve"> who: </w:t>
      </w:r>
    </w:p>
    <w:p w:rsidR="00F3097E" w:rsidRPr="004640DE" w:rsidRDefault="00F3097E" w:rsidP="00AE2230">
      <w:pPr>
        <w:pStyle w:val="Default"/>
        <w:rPr>
          <w:rFonts w:asciiTheme="minorHAnsi" w:hAnsi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F3097E" w:rsidRPr="004640DE" w:rsidTr="00F666AB">
        <w:tc>
          <w:tcPr>
            <w:tcW w:w="3005" w:type="dxa"/>
          </w:tcPr>
          <w:p w:rsidR="00F3097E" w:rsidRPr="004640DE" w:rsidRDefault="00F3097E" w:rsidP="00F666AB">
            <w:pPr>
              <w:pStyle w:val="Default"/>
              <w:jc w:val="center"/>
              <w:rPr>
                <w:rFonts w:asciiTheme="minorHAnsi" w:hAnsiTheme="minorHAnsi"/>
                <w:b/>
                <w:sz w:val="22"/>
                <w:szCs w:val="22"/>
              </w:rPr>
            </w:pPr>
            <w:r w:rsidRPr="004640DE">
              <w:rPr>
                <w:rFonts w:asciiTheme="minorHAnsi" w:hAnsiTheme="minorHAnsi"/>
                <w:b/>
                <w:sz w:val="22"/>
                <w:szCs w:val="22"/>
              </w:rPr>
              <w:t>Consumer Objectives</w:t>
            </w:r>
          </w:p>
        </w:tc>
        <w:tc>
          <w:tcPr>
            <w:tcW w:w="3005" w:type="dxa"/>
          </w:tcPr>
          <w:p w:rsidR="00F3097E" w:rsidRPr="004640DE" w:rsidRDefault="00F3097E" w:rsidP="00F666AB">
            <w:pPr>
              <w:pStyle w:val="Default"/>
              <w:jc w:val="center"/>
              <w:rPr>
                <w:rFonts w:asciiTheme="minorHAnsi" w:hAnsiTheme="minorHAnsi"/>
                <w:b/>
                <w:sz w:val="22"/>
                <w:szCs w:val="22"/>
              </w:rPr>
            </w:pPr>
            <w:r w:rsidRPr="004640DE">
              <w:rPr>
                <w:rFonts w:asciiTheme="minorHAnsi" w:hAnsiTheme="minorHAnsi"/>
                <w:b/>
                <w:sz w:val="22"/>
                <w:szCs w:val="22"/>
              </w:rPr>
              <w:t>Financial Situation</w:t>
            </w:r>
          </w:p>
        </w:tc>
        <w:tc>
          <w:tcPr>
            <w:tcW w:w="3006" w:type="dxa"/>
          </w:tcPr>
          <w:p w:rsidR="00F3097E" w:rsidRPr="004640DE" w:rsidRDefault="00F3097E" w:rsidP="00F666AB">
            <w:pPr>
              <w:pStyle w:val="Default"/>
              <w:jc w:val="center"/>
              <w:rPr>
                <w:rFonts w:asciiTheme="minorHAnsi" w:hAnsiTheme="minorHAnsi"/>
                <w:b/>
                <w:sz w:val="22"/>
                <w:szCs w:val="22"/>
              </w:rPr>
            </w:pPr>
            <w:r w:rsidRPr="004640DE">
              <w:rPr>
                <w:rFonts w:asciiTheme="minorHAnsi" w:hAnsiTheme="minorHAnsi"/>
                <w:b/>
                <w:sz w:val="22"/>
                <w:szCs w:val="22"/>
              </w:rPr>
              <w:t>Needs product designed to meet</w:t>
            </w:r>
          </w:p>
        </w:tc>
      </w:tr>
      <w:tr w:rsidR="00F3097E" w:rsidRPr="004640DE" w:rsidTr="00F666AB">
        <w:tc>
          <w:tcPr>
            <w:tcW w:w="3005" w:type="dxa"/>
          </w:tcPr>
          <w:p w:rsidR="00EA70AA" w:rsidRPr="004640DE" w:rsidRDefault="00EF4AD8" w:rsidP="00F666AB">
            <w:pPr>
              <w:pStyle w:val="Default"/>
              <w:rPr>
                <w:rFonts w:asciiTheme="minorHAnsi" w:hAnsiTheme="minorHAnsi"/>
                <w:color w:val="auto"/>
                <w:sz w:val="22"/>
                <w:szCs w:val="22"/>
              </w:rPr>
            </w:pPr>
            <w:proofErr w:type="spellStart"/>
            <w:r>
              <w:rPr>
                <w:rFonts w:asciiTheme="minorHAnsi" w:hAnsiTheme="minorHAnsi"/>
                <w:color w:val="auto"/>
                <w:sz w:val="22"/>
                <w:szCs w:val="22"/>
              </w:rPr>
              <w:t>Requirws</w:t>
            </w:r>
            <w:proofErr w:type="spellEnd"/>
            <w:r>
              <w:rPr>
                <w:rFonts w:asciiTheme="minorHAnsi" w:hAnsiTheme="minorHAnsi"/>
                <w:color w:val="auto"/>
                <w:sz w:val="22"/>
                <w:szCs w:val="22"/>
              </w:rPr>
              <w:t xml:space="preserve"> a home</w:t>
            </w:r>
            <w:r w:rsidR="008B0C84">
              <w:rPr>
                <w:rFonts w:asciiTheme="minorHAnsi" w:hAnsiTheme="minorHAnsi"/>
                <w:color w:val="auto"/>
                <w:sz w:val="22"/>
                <w:szCs w:val="22"/>
              </w:rPr>
              <w:t xml:space="preserve"> loan with guaranteed repayments and interest rate for the duration of the fixed period nominated to purchase property</w:t>
            </w:r>
            <w:r w:rsidR="00C22809">
              <w:rPr>
                <w:rFonts w:asciiTheme="minorHAnsi" w:hAnsiTheme="minorHAnsi"/>
                <w:color w:val="auto"/>
                <w:sz w:val="22"/>
                <w:szCs w:val="22"/>
              </w:rPr>
              <w:t xml:space="preserve"> </w:t>
            </w:r>
          </w:p>
          <w:p w:rsidR="00B72A38" w:rsidRPr="004640DE" w:rsidRDefault="00B72A38" w:rsidP="00F666AB">
            <w:pPr>
              <w:pStyle w:val="Default"/>
              <w:rPr>
                <w:rFonts w:asciiTheme="minorHAnsi" w:hAnsiTheme="minorHAnsi"/>
                <w:color w:val="auto"/>
                <w:sz w:val="22"/>
                <w:szCs w:val="22"/>
              </w:rPr>
            </w:pPr>
          </w:p>
          <w:p w:rsidR="00F3097E" w:rsidRPr="004640DE" w:rsidRDefault="00F3097E" w:rsidP="00F666AB">
            <w:pPr>
              <w:pStyle w:val="Default"/>
              <w:rPr>
                <w:rFonts w:asciiTheme="minorHAnsi" w:hAnsiTheme="minorHAnsi"/>
                <w:i/>
                <w:color w:val="0070C0"/>
                <w:sz w:val="22"/>
                <w:szCs w:val="22"/>
              </w:rPr>
            </w:pPr>
          </w:p>
          <w:p w:rsidR="00F3097E" w:rsidRDefault="00F3097E" w:rsidP="00F666AB">
            <w:pPr>
              <w:pStyle w:val="Default"/>
              <w:rPr>
                <w:rFonts w:asciiTheme="minorHAnsi" w:hAnsiTheme="minorHAnsi"/>
                <w:i/>
                <w:color w:val="0070C0"/>
                <w:sz w:val="22"/>
                <w:szCs w:val="22"/>
              </w:rPr>
            </w:pPr>
          </w:p>
          <w:p w:rsidR="00F3097E" w:rsidRPr="004640DE" w:rsidRDefault="00F3097E" w:rsidP="00F666AB">
            <w:pPr>
              <w:pStyle w:val="Default"/>
              <w:rPr>
                <w:rFonts w:asciiTheme="minorHAnsi" w:hAnsiTheme="minorHAnsi"/>
                <w:i/>
                <w:color w:val="0070C0"/>
                <w:sz w:val="22"/>
                <w:szCs w:val="22"/>
              </w:rPr>
            </w:pPr>
          </w:p>
        </w:tc>
        <w:tc>
          <w:tcPr>
            <w:tcW w:w="3005" w:type="dxa"/>
          </w:tcPr>
          <w:p w:rsidR="00BC5109" w:rsidRPr="00C22809" w:rsidRDefault="00C22809" w:rsidP="00F3097E">
            <w:pPr>
              <w:pStyle w:val="Default"/>
              <w:rPr>
                <w:rFonts w:asciiTheme="minorHAnsi" w:hAnsiTheme="minorHAnsi"/>
                <w:color w:val="FF0000"/>
                <w:sz w:val="22"/>
                <w:szCs w:val="22"/>
              </w:rPr>
            </w:pPr>
            <w:r>
              <w:rPr>
                <w:rFonts w:asciiTheme="minorHAnsi" w:hAnsiTheme="minorHAnsi"/>
                <w:color w:val="auto"/>
                <w:sz w:val="22"/>
                <w:szCs w:val="22"/>
              </w:rPr>
              <w:t>Meets Horizon credit assessment criteria</w:t>
            </w:r>
          </w:p>
          <w:p w:rsidR="00E77157" w:rsidRPr="004640DE" w:rsidRDefault="00E77157" w:rsidP="00F3097E">
            <w:pPr>
              <w:pStyle w:val="Default"/>
              <w:rPr>
                <w:rFonts w:asciiTheme="minorHAnsi" w:hAnsiTheme="minorHAnsi"/>
                <w:color w:val="auto"/>
                <w:sz w:val="22"/>
                <w:szCs w:val="22"/>
              </w:rPr>
            </w:pPr>
          </w:p>
          <w:p w:rsidR="00E77157" w:rsidRPr="004640DE" w:rsidRDefault="00E77157" w:rsidP="00F3097E">
            <w:pPr>
              <w:pStyle w:val="Default"/>
              <w:rPr>
                <w:rFonts w:asciiTheme="minorHAnsi" w:hAnsiTheme="minorHAnsi"/>
                <w:i/>
                <w:color w:val="0070C0"/>
                <w:sz w:val="22"/>
                <w:szCs w:val="22"/>
              </w:rPr>
            </w:pPr>
          </w:p>
        </w:tc>
        <w:tc>
          <w:tcPr>
            <w:tcW w:w="3006" w:type="dxa"/>
          </w:tcPr>
          <w:p w:rsidR="003B4CF0" w:rsidRPr="00C22809" w:rsidRDefault="00EF4AD8" w:rsidP="003B4CF0">
            <w:pPr>
              <w:pStyle w:val="Default"/>
              <w:rPr>
                <w:rFonts w:asciiTheme="minorHAnsi" w:hAnsiTheme="minorHAnsi"/>
                <w:color w:val="auto"/>
                <w:sz w:val="22"/>
                <w:szCs w:val="22"/>
              </w:rPr>
            </w:pPr>
            <w:bookmarkStart w:id="0" w:name="_GoBack"/>
            <w:r>
              <w:rPr>
                <w:rFonts w:asciiTheme="minorHAnsi" w:hAnsiTheme="minorHAnsi"/>
                <w:color w:val="auto"/>
                <w:sz w:val="22"/>
                <w:szCs w:val="22"/>
              </w:rPr>
              <w:t xml:space="preserve">Consumer has the ability to lock in an interest rate which allows them to know the exact repayments of their loan for the contracted period. </w:t>
            </w:r>
          </w:p>
          <w:bookmarkEnd w:id="0"/>
          <w:p w:rsidR="00F3097E" w:rsidRPr="004640DE" w:rsidRDefault="00F3097E" w:rsidP="00A04F3F">
            <w:pPr>
              <w:pStyle w:val="Default"/>
              <w:rPr>
                <w:rFonts w:asciiTheme="minorHAnsi" w:hAnsiTheme="minorHAnsi"/>
                <w:i/>
                <w:color w:val="0070C0"/>
                <w:sz w:val="22"/>
                <w:szCs w:val="22"/>
              </w:rPr>
            </w:pPr>
          </w:p>
        </w:tc>
      </w:tr>
    </w:tbl>
    <w:p w:rsidR="004640DE" w:rsidRDefault="004640DE" w:rsidP="00E77157">
      <w:pPr>
        <w:rPr>
          <w:rFonts w:ascii="Calibri" w:eastAsia="Calibri" w:hAnsi="Calibri" w:cs="Calibri"/>
          <w:b/>
          <w:spacing w:val="-1"/>
        </w:rPr>
      </w:pPr>
    </w:p>
    <w:p w:rsidR="000D6DB1" w:rsidRPr="004640DE" w:rsidRDefault="000D6DB1" w:rsidP="00E77157">
      <w:pPr>
        <w:rPr>
          <w:rFonts w:ascii="Calibri" w:eastAsia="Calibri" w:hAnsi="Calibri" w:cs="Calibri"/>
        </w:rPr>
      </w:pPr>
      <w:r w:rsidRPr="004640DE">
        <w:rPr>
          <w:rFonts w:ascii="Calibri" w:eastAsia="Calibri" w:hAnsi="Calibri" w:cs="Calibri"/>
          <w:b/>
          <w:spacing w:val="-1"/>
        </w:rPr>
        <w:t>C</w:t>
      </w:r>
      <w:r w:rsidRPr="004640DE">
        <w:rPr>
          <w:rFonts w:ascii="Calibri" w:eastAsia="Calibri" w:hAnsi="Calibri" w:cs="Calibri"/>
          <w:b/>
          <w:spacing w:val="2"/>
        </w:rPr>
        <w:t>o</w:t>
      </w:r>
      <w:r w:rsidRPr="004640DE">
        <w:rPr>
          <w:rFonts w:ascii="Calibri" w:eastAsia="Calibri" w:hAnsi="Calibri" w:cs="Calibri"/>
          <w:b/>
          <w:spacing w:val="-3"/>
        </w:rPr>
        <w:t>n</w:t>
      </w:r>
      <w:r w:rsidRPr="004640DE">
        <w:rPr>
          <w:rFonts w:ascii="Calibri" w:eastAsia="Calibri" w:hAnsi="Calibri" w:cs="Calibri"/>
          <w:b/>
          <w:spacing w:val="1"/>
        </w:rPr>
        <w:t>s</w:t>
      </w:r>
      <w:r w:rsidRPr="004640DE">
        <w:rPr>
          <w:rFonts w:ascii="Calibri" w:eastAsia="Calibri" w:hAnsi="Calibri" w:cs="Calibri"/>
          <w:b/>
          <w:spacing w:val="-2"/>
        </w:rPr>
        <w:t>i</w:t>
      </w:r>
      <w:r w:rsidRPr="004640DE">
        <w:rPr>
          <w:rFonts w:ascii="Calibri" w:eastAsia="Calibri" w:hAnsi="Calibri" w:cs="Calibri"/>
          <w:b/>
          <w:spacing w:val="1"/>
        </w:rPr>
        <w:t>s</w:t>
      </w:r>
      <w:r w:rsidRPr="004640DE">
        <w:rPr>
          <w:rFonts w:ascii="Calibri" w:eastAsia="Calibri" w:hAnsi="Calibri" w:cs="Calibri"/>
          <w:b/>
          <w:spacing w:val="2"/>
        </w:rPr>
        <w:t>t</w:t>
      </w:r>
      <w:r w:rsidRPr="004640DE">
        <w:rPr>
          <w:rFonts w:ascii="Calibri" w:eastAsia="Calibri" w:hAnsi="Calibri" w:cs="Calibri"/>
          <w:b/>
          <w:spacing w:val="-6"/>
        </w:rPr>
        <w:t>e</w:t>
      </w:r>
      <w:r w:rsidRPr="004640DE">
        <w:rPr>
          <w:rFonts w:ascii="Calibri" w:eastAsia="Calibri" w:hAnsi="Calibri" w:cs="Calibri"/>
          <w:b/>
          <w:spacing w:val="-3"/>
        </w:rPr>
        <w:t>n</w:t>
      </w:r>
      <w:r w:rsidRPr="004640DE">
        <w:rPr>
          <w:rFonts w:ascii="Calibri" w:eastAsia="Calibri" w:hAnsi="Calibri" w:cs="Calibri"/>
          <w:b/>
          <w:spacing w:val="2"/>
        </w:rPr>
        <w:t>c</w:t>
      </w:r>
      <w:r w:rsidRPr="004640DE">
        <w:rPr>
          <w:rFonts w:ascii="Calibri" w:eastAsia="Calibri" w:hAnsi="Calibri" w:cs="Calibri"/>
          <w:b/>
        </w:rPr>
        <w:t>y</w:t>
      </w:r>
      <w:r w:rsidRPr="004640DE">
        <w:rPr>
          <w:rFonts w:ascii="Calibri" w:eastAsia="Calibri" w:hAnsi="Calibri" w:cs="Calibri"/>
          <w:b/>
          <w:spacing w:val="5"/>
        </w:rPr>
        <w:t xml:space="preserve"> </w:t>
      </w:r>
      <w:r w:rsidRPr="004640DE">
        <w:rPr>
          <w:rFonts w:ascii="Calibri" w:eastAsia="Calibri" w:hAnsi="Calibri" w:cs="Calibri"/>
          <w:b/>
          <w:spacing w:val="-1"/>
        </w:rPr>
        <w:t>w</w:t>
      </w:r>
      <w:r w:rsidRPr="004640DE">
        <w:rPr>
          <w:rFonts w:ascii="Calibri" w:eastAsia="Calibri" w:hAnsi="Calibri" w:cs="Calibri"/>
          <w:b/>
          <w:spacing w:val="-6"/>
        </w:rPr>
        <w:t>i</w:t>
      </w:r>
      <w:r w:rsidRPr="004640DE">
        <w:rPr>
          <w:rFonts w:ascii="Calibri" w:eastAsia="Calibri" w:hAnsi="Calibri" w:cs="Calibri"/>
          <w:b/>
          <w:spacing w:val="2"/>
        </w:rPr>
        <w:t>t</w:t>
      </w:r>
      <w:r w:rsidRPr="004640DE">
        <w:rPr>
          <w:rFonts w:ascii="Calibri" w:eastAsia="Calibri" w:hAnsi="Calibri" w:cs="Calibri"/>
          <w:b/>
        </w:rPr>
        <w:t xml:space="preserve">h </w:t>
      </w:r>
      <w:r w:rsidRPr="004640DE">
        <w:rPr>
          <w:rFonts w:ascii="Calibri" w:eastAsia="Calibri" w:hAnsi="Calibri" w:cs="Calibri"/>
          <w:b/>
          <w:spacing w:val="-3"/>
        </w:rPr>
        <w:t>t</w:t>
      </w:r>
      <w:r w:rsidRPr="004640DE">
        <w:rPr>
          <w:rFonts w:ascii="Calibri" w:eastAsia="Calibri" w:hAnsi="Calibri" w:cs="Calibri"/>
          <w:b/>
          <w:spacing w:val="2"/>
        </w:rPr>
        <w:t>h</w:t>
      </w:r>
      <w:r w:rsidRPr="004640DE">
        <w:rPr>
          <w:rFonts w:ascii="Calibri" w:eastAsia="Calibri" w:hAnsi="Calibri" w:cs="Calibri"/>
          <w:b/>
        </w:rPr>
        <w:t>e</w:t>
      </w:r>
      <w:r w:rsidRPr="004640DE">
        <w:rPr>
          <w:rFonts w:ascii="Calibri" w:eastAsia="Calibri" w:hAnsi="Calibri" w:cs="Calibri"/>
          <w:b/>
          <w:spacing w:val="-3"/>
        </w:rPr>
        <w:t xml:space="preserve"> t</w:t>
      </w:r>
      <w:r w:rsidRPr="004640DE">
        <w:rPr>
          <w:rFonts w:ascii="Calibri" w:eastAsia="Calibri" w:hAnsi="Calibri" w:cs="Calibri"/>
          <w:b/>
          <w:spacing w:val="1"/>
        </w:rPr>
        <w:t>a</w:t>
      </w:r>
      <w:r w:rsidRPr="004640DE">
        <w:rPr>
          <w:rFonts w:ascii="Calibri" w:eastAsia="Calibri" w:hAnsi="Calibri" w:cs="Calibri"/>
          <w:b/>
        </w:rPr>
        <w:t>rg</w:t>
      </w:r>
      <w:r w:rsidRPr="004640DE">
        <w:rPr>
          <w:rFonts w:ascii="Calibri" w:eastAsia="Calibri" w:hAnsi="Calibri" w:cs="Calibri"/>
          <w:b/>
          <w:spacing w:val="-6"/>
        </w:rPr>
        <w:t>e</w:t>
      </w:r>
      <w:r w:rsidRPr="004640DE">
        <w:rPr>
          <w:rFonts w:ascii="Calibri" w:eastAsia="Calibri" w:hAnsi="Calibri" w:cs="Calibri"/>
          <w:b/>
        </w:rPr>
        <w:t>t</w:t>
      </w:r>
      <w:r w:rsidRPr="004640DE">
        <w:rPr>
          <w:rFonts w:ascii="Calibri" w:eastAsia="Calibri" w:hAnsi="Calibri" w:cs="Calibri"/>
          <w:b/>
          <w:spacing w:val="4"/>
        </w:rPr>
        <w:t xml:space="preserve"> </w:t>
      </w:r>
      <w:r w:rsidRPr="004640DE">
        <w:rPr>
          <w:rFonts w:ascii="Calibri" w:eastAsia="Calibri" w:hAnsi="Calibri" w:cs="Calibri"/>
          <w:b/>
          <w:spacing w:val="-6"/>
        </w:rPr>
        <w:t>m</w:t>
      </w:r>
      <w:r w:rsidRPr="004640DE">
        <w:rPr>
          <w:rFonts w:ascii="Calibri" w:eastAsia="Calibri" w:hAnsi="Calibri" w:cs="Calibri"/>
          <w:b/>
          <w:spacing w:val="1"/>
        </w:rPr>
        <w:t>a</w:t>
      </w:r>
      <w:r w:rsidRPr="004640DE">
        <w:rPr>
          <w:rFonts w:ascii="Calibri" w:eastAsia="Calibri" w:hAnsi="Calibri" w:cs="Calibri"/>
          <w:b/>
        </w:rPr>
        <w:t>rk</w:t>
      </w:r>
      <w:r w:rsidRPr="004640DE">
        <w:rPr>
          <w:rFonts w:ascii="Calibri" w:eastAsia="Calibri" w:hAnsi="Calibri" w:cs="Calibri"/>
          <w:b/>
          <w:spacing w:val="-6"/>
        </w:rPr>
        <w:t>e</w:t>
      </w:r>
      <w:r w:rsidRPr="004640DE">
        <w:rPr>
          <w:rFonts w:ascii="Calibri" w:eastAsia="Calibri" w:hAnsi="Calibri" w:cs="Calibri"/>
          <w:b/>
        </w:rPr>
        <w:t>t</w:t>
      </w:r>
    </w:p>
    <w:p w:rsidR="008C7B63" w:rsidRPr="004640DE" w:rsidRDefault="00E77157" w:rsidP="00AE2230">
      <w:pPr>
        <w:pStyle w:val="Default"/>
        <w:rPr>
          <w:rFonts w:asciiTheme="minorHAnsi" w:hAnsiTheme="minorHAnsi"/>
          <w:sz w:val="22"/>
          <w:szCs w:val="22"/>
        </w:rPr>
      </w:pPr>
      <w:r w:rsidRPr="004640DE">
        <w:rPr>
          <w:rFonts w:asciiTheme="minorHAnsi" w:hAnsiTheme="minorHAnsi"/>
          <w:sz w:val="22"/>
          <w:szCs w:val="22"/>
        </w:rPr>
        <w:t>The</w:t>
      </w:r>
      <w:r w:rsidR="00800864">
        <w:rPr>
          <w:rFonts w:asciiTheme="minorHAnsi" w:hAnsiTheme="minorHAnsi"/>
          <w:sz w:val="22"/>
          <w:szCs w:val="22"/>
        </w:rPr>
        <w:t xml:space="preserve"> </w:t>
      </w:r>
      <w:r w:rsidR="008B0C84">
        <w:rPr>
          <w:rFonts w:asciiTheme="minorHAnsi" w:hAnsiTheme="minorHAnsi"/>
          <w:sz w:val="22"/>
          <w:szCs w:val="22"/>
        </w:rPr>
        <w:t>Fixed Rate</w:t>
      </w:r>
      <w:r w:rsidR="00142ADE">
        <w:rPr>
          <w:rFonts w:asciiTheme="minorHAnsi" w:hAnsiTheme="minorHAnsi"/>
          <w:sz w:val="22"/>
          <w:szCs w:val="22"/>
        </w:rPr>
        <w:t xml:space="preserve"> Home Loan </w:t>
      </w:r>
      <w:r w:rsidR="00C40D38">
        <w:rPr>
          <w:rFonts w:asciiTheme="minorHAnsi" w:hAnsiTheme="minorHAnsi"/>
          <w:sz w:val="22"/>
          <w:szCs w:val="22"/>
        </w:rPr>
        <w:t>(L</w:t>
      </w:r>
      <w:r w:rsidR="008B0C84">
        <w:rPr>
          <w:rFonts w:asciiTheme="minorHAnsi" w:hAnsiTheme="minorHAnsi"/>
          <w:sz w:val="22"/>
          <w:szCs w:val="22"/>
        </w:rPr>
        <w:t>40, L41, L42, L31</w:t>
      </w:r>
      <w:r w:rsidR="00C40D38">
        <w:rPr>
          <w:rFonts w:asciiTheme="minorHAnsi" w:hAnsiTheme="minorHAnsi"/>
          <w:sz w:val="22"/>
          <w:szCs w:val="22"/>
        </w:rPr>
        <w:t>)</w:t>
      </w:r>
      <w:r w:rsidRPr="004640DE">
        <w:rPr>
          <w:rFonts w:asciiTheme="minorHAnsi" w:hAnsiTheme="minorHAnsi"/>
          <w:sz w:val="22"/>
          <w:szCs w:val="22"/>
        </w:rPr>
        <w:t xml:space="preserve"> product including its key attributes is likely to be consistent with the likely objectives, financial situation and needs of the class of customers in the target market, as we consider that it provides the required type of banking access, fee structure and transaction allowances</w:t>
      </w:r>
      <w:r w:rsidR="008C7B63" w:rsidRPr="004640DE">
        <w:rPr>
          <w:rFonts w:asciiTheme="minorHAnsi" w:hAnsiTheme="minorHAnsi"/>
          <w:sz w:val="22"/>
          <w:szCs w:val="22"/>
        </w:rPr>
        <w:t xml:space="preserve"> for that class of consumer</w:t>
      </w:r>
      <w:r w:rsidRPr="004640DE">
        <w:rPr>
          <w:rFonts w:asciiTheme="minorHAnsi" w:hAnsiTheme="minorHAnsi"/>
          <w:sz w:val="22"/>
          <w:szCs w:val="22"/>
        </w:rPr>
        <w:t>. This has been determined based on an assessment of the product including its key attributes. Individual customers will need to consider whether this product meets their specific objectives, financial situation and needs.</w:t>
      </w:r>
    </w:p>
    <w:p w:rsidR="008C7B63" w:rsidRPr="004640DE" w:rsidRDefault="008C7B63" w:rsidP="00AE2230">
      <w:pPr>
        <w:pStyle w:val="Default"/>
        <w:rPr>
          <w:sz w:val="22"/>
          <w:szCs w:val="22"/>
        </w:rPr>
      </w:pPr>
    </w:p>
    <w:p w:rsidR="00AE2230" w:rsidRPr="004640DE" w:rsidRDefault="00AE2230" w:rsidP="00AE2230">
      <w:pPr>
        <w:pStyle w:val="Default"/>
        <w:rPr>
          <w:rFonts w:asciiTheme="minorHAnsi" w:hAnsiTheme="minorHAnsi"/>
          <w:sz w:val="22"/>
          <w:szCs w:val="22"/>
        </w:rPr>
      </w:pPr>
      <w:r w:rsidRPr="004640DE">
        <w:rPr>
          <w:rFonts w:asciiTheme="minorHAnsi" w:hAnsiTheme="minorHAnsi"/>
          <w:b/>
          <w:bCs/>
          <w:sz w:val="22"/>
          <w:szCs w:val="22"/>
        </w:rPr>
        <w:t xml:space="preserve">Excluded class of consumers </w:t>
      </w:r>
    </w:p>
    <w:p w:rsidR="000D6DB1" w:rsidRPr="004640DE" w:rsidRDefault="000D6DB1" w:rsidP="000D6DB1">
      <w:pPr>
        <w:pStyle w:val="Default"/>
        <w:rPr>
          <w:rFonts w:asciiTheme="minorHAnsi" w:hAnsiTheme="minorHAnsi"/>
          <w:sz w:val="22"/>
          <w:szCs w:val="22"/>
        </w:rPr>
      </w:pPr>
      <w:r w:rsidRPr="004640DE">
        <w:rPr>
          <w:rFonts w:asciiTheme="minorHAnsi" w:hAnsiTheme="minorHAnsi"/>
          <w:sz w:val="22"/>
          <w:szCs w:val="22"/>
        </w:rPr>
        <w:t xml:space="preserve">The product has NOT been designed for individuals who: </w:t>
      </w:r>
    </w:p>
    <w:p w:rsidR="00440969" w:rsidRDefault="00C40D38" w:rsidP="008C7B6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 xml:space="preserve">Require a </w:t>
      </w:r>
      <w:r w:rsidR="008B0C84">
        <w:rPr>
          <w:rFonts w:asciiTheme="minorHAnsi" w:hAnsiTheme="minorHAnsi"/>
          <w:color w:val="auto"/>
          <w:sz w:val="22"/>
          <w:szCs w:val="22"/>
        </w:rPr>
        <w:t>variable rate</w:t>
      </w:r>
      <w:r>
        <w:rPr>
          <w:rFonts w:asciiTheme="minorHAnsi" w:hAnsiTheme="minorHAnsi"/>
          <w:color w:val="auto"/>
          <w:sz w:val="22"/>
          <w:szCs w:val="22"/>
        </w:rPr>
        <w:t xml:space="preserve"> home loan</w:t>
      </w:r>
    </w:p>
    <w:p w:rsidR="008B0C84" w:rsidRDefault="008B0C84" w:rsidP="008C7B6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 xml:space="preserve">Wish to make lump sum repayments in excess of $30,000 over 12 months </w:t>
      </w:r>
    </w:p>
    <w:p w:rsidR="00F9016B" w:rsidRDefault="00F9016B" w:rsidP="008C7B6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Intend to repay the loan within the fixed rate period without penalty</w:t>
      </w:r>
    </w:p>
    <w:p w:rsidR="00C40D38" w:rsidRDefault="00C40D38" w:rsidP="008C7B6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Wish to borrow less than $</w:t>
      </w:r>
      <w:r w:rsidR="008B0C84">
        <w:rPr>
          <w:rFonts w:asciiTheme="minorHAnsi" w:hAnsiTheme="minorHAnsi"/>
          <w:color w:val="auto"/>
          <w:sz w:val="22"/>
          <w:szCs w:val="22"/>
        </w:rPr>
        <w:t>50</w:t>
      </w:r>
      <w:r>
        <w:rPr>
          <w:rFonts w:asciiTheme="minorHAnsi" w:hAnsiTheme="minorHAnsi"/>
          <w:color w:val="auto"/>
          <w:sz w:val="22"/>
          <w:szCs w:val="22"/>
        </w:rPr>
        <w:t>,000</w:t>
      </w:r>
    </w:p>
    <w:p w:rsidR="00BC5109" w:rsidRDefault="00142ADE" w:rsidP="008C7B63">
      <w:pPr>
        <w:pStyle w:val="Default"/>
        <w:numPr>
          <w:ilvl w:val="0"/>
          <w:numId w:val="8"/>
        </w:numPr>
        <w:rPr>
          <w:rFonts w:asciiTheme="minorHAnsi" w:hAnsiTheme="minorHAnsi"/>
          <w:color w:val="auto"/>
          <w:sz w:val="22"/>
          <w:szCs w:val="22"/>
        </w:rPr>
      </w:pPr>
      <w:r>
        <w:rPr>
          <w:rFonts w:asciiTheme="minorHAnsi" w:hAnsiTheme="minorHAnsi"/>
          <w:color w:val="auto"/>
          <w:sz w:val="22"/>
          <w:szCs w:val="22"/>
        </w:rPr>
        <w:t>Have p</w:t>
      </w:r>
      <w:r w:rsidR="00BC5109">
        <w:rPr>
          <w:rFonts w:asciiTheme="minorHAnsi" w:hAnsiTheme="minorHAnsi"/>
          <w:color w:val="auto"/>
          <w:sz w:val="22"/>
          <w:szCs w:val="22"/>
        </w:rPr>
        <w:t xml:space="preserve">oor credit history </w:t>
      </w:r>
    </w:p>
    <w:p w:rsidR="008C7B63" w:rsidRPr="008C7B63" w:rsidRDefault="008C7B63" w:rsidP="00BC5109">
      <w:pPr>
        <w:pStyle w:val="Default"/>
        <w:rPr>
          <w:rFonts w:asciiTheme="minorHAnsi" w:hAnsiTheme="minorHAnsi"/>
          <w:color w:val="auto"/>
          <w:sz w:val="20"/>
          <w:szCs w:val="20"/>
        </w:rPr>
      </w:pPr>
    </w:p>
    <w:p w:rsidR="003377DB" w:rsidRDefault="003377DB" w:rsidP="00D57634">
      <w:pPr>
        <w:pStyle w:val="Default"/>
        <w:numPr>
          <w:ilvl w:val="0"/>
          <w:numId w:val="3"/>
        </w:numPr>
        <w:rPr>
          <w:rFonts w:asciiTheme="minorHAnsi" w:hAnsiTheme="minorHAnsi"/>
          <w:b/>
          <w:bCs/>
        </w:rPr>
      </w:pPr>
      <w:r w:rsidRPr="003377DB">
        <w:rPr>
          <w:rFonts w:asciiTheme="minorHAnsi" w:hAnsiTheme="minorHAnsi"/>
          <w:b/>
          <w:bCs/>
        </w:rPr>
        <w:t xml:space="preserve"> Distribution of the product </w:t>
      </w:r>
    </w:p>
    <w:p w:rsidR="003377DB" w:rsidRPr="003377DB" w:rsidRDefault="003377DB" w:rsidP="003377DB">
      <w:pPr>
        <w:pStyle w:val="Default"/>
        <w:rPr>
          <w:rFonts w:asciiTheme="minorHAnsi" w:hAnsiTheme="minorHAnsi"/>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Distribution channels </w:t>
      </w:r>
    </w:p>
    <w:p w:rsidR="003377DB" w:rsidRPr="004640DE" w:rsidRDefault="003377DB" w:rsidP="003377DB">
      <w:pPr>
        <w:pStyle w:val="Default"/>
        <w:rPr>
          <w:rFonts w:asciiTheme="minorHAnsi" w:hAnsiTheme="minorHAnsi"/>
          <w:sz w:val="22"/>
          <w:szCs w:val="22"/>
        </w:rPr>
      </w:pPr>
      <w:r w:rsidRPr="004640DE">
        <w:rPr>
          <w:rFonts w:asciiTheme="minorHAnsi" w:hAnsiTheme="minorHAnsi"/>
          <w:sz w:val="22"/>
          <w:szCs w:val="22"/>
        </w:rPr>
        <w:t xml:space="preserve">The product is designed to be distributed through the following means: </w:t>
      </w:r>
    </w:p>
    <w:p w:rsidR="008C7B63" w:rsidRPr="004640DE" w:rsidRDefault="008C7B63" w:rsidP="008C7B63">
      <w:pPr>
        <w:pStyle w:val="Default"/>
        <w:numPr>
          <w:ilvl w:val="0"/>
          <w:numId w:val="9"/>
        </w:numPr>
        <w:rPr>
          <w:rFonts w:asciiTheme="minorHAnsi" w:hAnsiTheme="minorHAnsi"/>
          <w:sz w:val="22"/>
          <w:szCs w:val="22"/>
        </w:rPr>
      </w:pPr>
      <w:r w:rsidRPr="004640DE">
        <w:rPr>
          <w:rFonts w:asciiTheme="minorHAnsi" w:hAnsiTheme="minorHAnsi"/>
          <w:sz w:val="22"/>
          <w:szCs w:val="22"/>
        </w:rPr>
        <w:t>In branch</w:t>
      </w:r>
    </w:p>
    <w:p w:rsidR="008C7B63" w:rsidRPr="004640DE" w:rsidRDefault="008C7B63" w:rsidP="008C7B63">
      <w:pPr>
        <w:pStyle w:val="Default"/>
        <w:numPr>
          <w:ilvl w:val="0"/>
          <w:numId w:val="9"/>
        </w:numPr>
        <w:rPr>
          <w:rFonts w:asciiTheme="minorHAnsi" w:hAnsiTheme="minorHAnsi"/>
          <w:sz w:val="22"/>
          <w:szCs w:val="22"/>
        </w:rPr>
      </w:pPr>
      <w:r w:rsidRPr="004640DE">
        <w:rPr>
          <w:rFonts w:asciiTheme="minorHAnsi" w:hAnsiTheme="minorHAnsi"/>
          <w:sz w:val="22"/>
          <w:szCs w:val="22"/>
        </w:rPr>
        <w:t>Via online banking</w:t>
      </w:r>
    </w:p>
    <w:p w:rsidR="008C7B63" w:rsidRPr="004640DE" w:rsidRDefault="008C7B63" w:rsidP="008C7B63">
      <w:pPr>
        <w:pStyle w:val="Default"/>
        <w:numPr>
          <w:ilvl w:val="0"/>
          <w:numId w:val="9"/>
        </w:numPr>
        <w:rPr>
          <w:rFonts w:asciiTheme="minorHAnsi" w:hAnsiTheme="minorHAnsi"/>
          <w:sz w:val="22"/>
          <w:szCs w:val="22"/>
        </w:rPr>
      </w:pPr>
      <w:r w:rsidRPr="004640DE">
        <w:rPr>
          <w:rFonts w:asciiTheme="minorHAnsi" w:hAnsiTheme="minorHAnsi"/>
          <w:sz w:val="22"/>
          <w:szCs w:val="22"/>
        </w:rPr>
        <w:t>By contacting any branch by phone</w:t>
      </w:r>
    </w:p>
    <w:p w:rsidR="003377DB" w:rsidRPr="004640DE" w:rsidRDefault="003377DB" w:rsidP="003377DB">
      <w:pPr>
        <w:pStyle w:val="Default"/>
        <w:rPr>
          <w:rFonts w:asciiTheme="minorHAnsi" w:hAnsiTheme="minorHAnsi"/>
          <w:sz w:val="22"/>
          <w:szCs w:val="22"/>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Distribution conditions and restrictions </w:t>
      </w:r>
    </w:p>
    <w:p w:rsidR="003377DB" w:rsidRPr="004640DE" w:rsidRDefault="003377DB" w:rsidP="003377DB">
      <w:pPr>
        <w:pStyle w:val="Default"/>
        <w:rPr>
          <w:rFonts w:asciiTheme="minorHAnsi" w:hAnsiTheme="minorHAnsi"/>
          <w:sz w:val="22"/>
          <w:szCs w:val="22"/>
        </w:rPr>
      </w:pPr>
      <w:r w:rsidRPr="004640DE">
        <w:rPr>
          <w:rFonts w:asciiTheme="minorHAnsi" w:hAnsiTheme="minorHAnsi"/>
          <w:sz w:val="22"/>
          <w:szCs w:val="22"/>
        </w:rPr>
        <w:t xml:space="preserve">The distribution of the product is subject to the following conditions and restrictions: </w:t>
      </w:r>
    </w:p>
    <w:p w:rsidR="006646FE" w:rsidRDefault="006646FE" w:rsidP="008C7B63">
      <w:pPr>
        <w:pStyle w:val="Default"/>
        <w:numPr>
          <w:ilvl w:val="0"/>
          <w:numId w:val="10"/>
        </w:numPr>
        <w:rPr>
          <w:rFonts w:asciiTheme="minorHAnsi" w:hAnsiTheme="minorHAnsi"/>
          <w:color w:val="auto"/>
          <w:sz w:val="22"/>
          <w:szCs w:val="22"/>
        </w:rPr>
      </w:pPr>
      <w:r w:rsidRPr="004640DE">
        <w:rPr>
          <w:rFonts w:asciiTheme="minorHAnsi" w:hAnsiTheme="minorHAnsi"/>
          <w:color w:val="auto"/>
          <w:sz w:val="22"/>
          <w:szCs w:val="22"/>
        </w:rPr>
        <w:t>Can only be distributed by Horizon bank staff member who is Tier 2 accredited and has received full training for this product</w:t>
      </w:r>
      <w:r w:rsidR="00BC5109">
        <w:rPr>
          <w:rFonts w:asciiTheme="minorHAnsi" w:hAnsiTheme="minorHAnsi"/>
          <w:color w:val="auto"/>
          <w:sz w:val="22"/>
          <w:szCs w:val="22"/>
        </w:rPr>
        <w:t xml:space="preserve"> </w:t>
      </w:r>
    </w:p>
    <w:p w:rsidR="006646FE" w:rsidRPr="00BC5109" w:rsidRDefault="00BC5109" w:rsidP="00212B2F">
      <w:pPr>
        <w:pStyle w:val="Default"/>
        <w:numPr>
          <w:ilvl w:val="0"/>
          <w:numId w:val="10"/>
        </w:numPr>
        <w:rPr>
          <w:rFonts w:asciiTheme="minorHAnsi" w:hAnsiTheme="minorHAnsi"/>
          <w:sz w:val="20"/>
          <w:szCs w:val="20"/>
        </w:rPr>
      </w:pPr>
      <w:r w:rsidRPr="00BC5109">
        <w:rPr>
          <w:rFonts w:asciiTheme="minorHAnsi" w:hAnsiTheme="minorHAnsi"/>
          <w:color w:val="auto"/>
          <w:sz w:val="22"/>
          <w:szCs w:val="22"/>
        </w:rPr>
        <w:lastRenderedPageBreak/>
        <w:t xml:space="preserve">Approval is given by </w:t>
      </w:r>
      <w:r w:rsidR="00C40D38">
        <w:rPr>
          <w:rFonts w:asciiTheme="minorHAnsi" w:hAnsiTheme="minorHAnsi"/>
          <w:color w:val="auto"/>
          <w:sz w:val="22"/>
          <w:szCs w:val="22"/>
        </w:rPr>
        <w:t xml:space="preserve">a recognised lender </w:t>
      </w:r>
      <w:r w:rsidRPr="00BC5109">
        <w:rPr>
          <w:rFonts w:asciiTheme="minorHAnsi" w:hAnsiTheme="minorHAnsi"/>
          <w:color w:val="auto"/>
          <w:sz w:val="22"/>
          <w:szCs w:val="22"/>
        </w:rPr>
        <w:t>with appropriate delegation for</w:t>
      </w:r>
      <w:r w:rsidR="00C40D38">
        <w:rPr>
          <w:rFonts w:asciiTheme="minorHAnsi" w:hAnsiTheme="minorHAnsi"/>
          <w:color w:val="auto"/>
          <w:sz w:val="22"/>
          <w:szCs w:val="22"/>
        </w:rPr>
        <w:t xml:space="preserve"> the</w:t>
      </w:r>
      <w:r>
        <w:rPr>
          <w:rFonts w:asciiTheme="minorHAnsi" w:hAnsiTheme="minorHAnsi"/>
          <w:color w:val="auto"/>
          <w:sz w:val="22"/>
          <w:szCs w:val="22"/>
        </w:rPr>
        <w:t xml:space="preserve"> requested</w:t>
      </w:r>
      <w:r w:rsidRPr="00BC5109">
        <w:rPr>
          <w:rFonts w:asciiTheme="minorHAnsi" w:hAnsiTheme="minorHAnsi"/>
          <w:color w:val="auto"/>
          <w:sz w:val="22"/>
          <w:szCs w:val="22"/>
        </w:rPr>
        <w:t xml:space="preserve"> </w:t>
      </w:r>
      <w:r w:rsidR="00C40D38">
        <w:rPr>
          <w:rFonts w:asciiTheme="minorHAnsi" w:hAnsiTheme="minorHAnsi"/>
          <w:color w:val="auto"/>
          <w:sz w:val="22"/>
          <w:szCs w:val="22"/>
        </w:rPr>
        <w:t>loan size.</w:t>
      </w:r>
    </w:p>
    <w:p w:rsidR="00BC5109" w:rsidRPr="00BC5109" w:rsidRDefault="00BC5109" w:rsidP="00BC5109">
      <w:pPr>
        <w:pStyle w:val="Default"/>
        <w:ind w:left="720"/>
        <w:rPr>
          <w:rFonts w:asciiTheme="minorHAnsi" w:hAnsiTheme="minorHAnsi"/>
          <w:sz w:val="20"/>
          <w:szCs w:val="20"/>
        </w:rPr>
      </w:pPr>
    </w:p>
    <w:p w:rsidR="003377DB" w:rsidRDefault="003377DB" w:rsidP="00D57634">
      <w:pPr>
        <w:pStyle w:val="Default"/>
        <w:numPr>
          <w:ilvl w:val="0"/>
          <w:numId w:val="3"/>
        </w:numPr>
        <w:rPr>
          <w:rFonts w:asciiTheme="minorHAnsi" w:hAnsiTheme="minorHAnsi"/>
          <w:b/>
          <w:bCs/>
        </w:rPr>
      </w:pPr>
      <w:r w:rsidRPr="003377DB">
        <w:rPr>
          <w:rFonts w:asciiTheme="minorHAnsi" w:hAnsiTheme="minorHAnsi"/>
          <w:b/>
          <w:bCs/>
        </w:rPr>
        <w:t xml:space="preserve"> Reporting by distributors</w:t>
      </w:r>
      <w:r w:rsidR="006646FE">
        <w:rPr>
          <w:rFonts w:asciiTheme="minorHAnsi" w:hAnsiTheme="minorHAnsi"/>
          <w:b/>
          <w:bCs/>
        </w:rPr>
        <w:t xml:space="preserve"> and staff</w:t>
      </w:r>
      <w:r w:rsidRPr="003377DB">
        <w:rPr>
          <w:rFonts w:asciiTheme="minorHAnsi" w:hAnsiTheme="minorHAnsi"/>
          <w:b/>
          <w:bCs/>
        </w:rPr>
        <w:t xml:space="preserve"> of the product </w:t>
      </w:r>
    </w:p>
    <w:p w:rsidR="003377DB" w:rsidRPr="003377DB" w:rsidRDefault="003377DB" w:rsidP="003377DB">
      <w:pPr>
        <w:pStyle w:val="Default"/>
        <w:rPr>
          <w:rFonts w:asciiTheme="minorHAnsi" w:hAnsiTheme="minorHAnsi"/>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Significant inconsistent dealings </w:t>
      </w:r>
    </w:p>
    <w:p w:rsidR="003377DB" w:rsidRPr="004640DE" w:rsidRDefault="006646FE" w:rsidP="003377DB">
      <w:pPr>
        <w:pStyle w:val="Default"/>
        <w:rPr>
          <w:rFonts w:asciiTheme="minorHAnsi" w:hAnsiTheme="minorHAnsi"/>
          <w:sz w:val="22"/>
          <w:szCs w:val="22"/>
        </w:rPr>
      </w:pPr>
      <w:r w:rsidRPr="004640DE">
        <w:rPr>
          <w:rFonts w:asciiTheme="minorHAnsi" w:hAnsiTheme="minorHAnsi"/>
          <w:sz w:val="22"/>
          <w:szCs w:val="22"/>
        </w:rPr>
        <w:t>Staff</w:t>
      </w:r>
      <w:r w:rsidR="003377DB" w:rsidRPr="004640DE">
        <w:rPr>
          <w:rFonts w:asciiTheme="minorHAnsi" w:hAnsiTheme="minorHAnsi"/>
          <w:sz w:val="22"/>
          <w:szCs w:val="22"/>
        </w:rPr>
        <w:t xml:space="preserve"> must report to us </w:t>
      </w:r>
      <w:r w:rsidRPr="004640DE">
        <w:rPr>
          <w:rFonts w:asciiTheme="minorHAnsi" w:hAnsiTheme="minorHAnsi"/>
          <w:sz w:val="22"/>
          <w:szCs w:val="22"/>
        </w:rPr>
        <w:t>immediately</w:t>
      </w:r>
      <w:r w:rsidR="003377DB" w:rsidRPr="004640DE">
        <w:rPr>
          <w:rFonts w:asciiTheme="minorHAnsi" w:hAnsiTheme="minorHAnsi"/>
          <w:sz w:val="22"/>
          <w:szCs w:val="22"/>
        </w:rPr>
        <w:t xml:space="preserve"> they become aware of a significant dealing in the product that is inconsistent with this TMD. </w:t>
      </w:r>
    </w:p>
    <w:p w:rsidR="003377DB" w:rsidRPr="004640DE" w:rsidRDefault="003377DB" w:rsidP="003377DB">
      <w:pPr>
        <w:pStyle w:val="Default"/>
        <w:rPr>
          <w:rFonts w:asciiTheme="minorHAnsi" w:hAnsiTheme="minorHAnsi"/>
          <w:b/>
          <w:bCs/>
          <w:sz w:val="22"/>
          <w:szCs w:val="22"/>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Complaints </w:t>
      </w:r>
    </w:p>
    <w:p w:rsidR="003377DB" w:rsidRPr="004640DE" w:rsidRDefault="006646FE" w:rsidP="003377DB">
      <w:pPr>
        <w:pStyle w:val="Default"/>
        <w:rPr>
          <w:rFonts w:asciiTheme="minorHAnsi" w:hAnsiTheme="minorHAnsi"/>
          <w:sz w:val="22"/>
          <w:szCs w:val="22"/>
        </w:rPr>
      </w:pPr>
      <w:r w:rsidRPr="004640DE">
        <w:rPr>
          <w:rFonts w:asciiTheme="minorHAnsi" w:hAnsiTheme="minorHAnsi"/>
          <w:sz w:val="22"/>
          <w:szCs w:val="22"/>
        </w:rPr>
        <w:t>Staff must follow the Horizon complaints process and escalate any matter that is inconsistent with this TMD.</w:t>
      </w:r>
    </w:p>
    <w:p w:rsidR="003377DB" w:rsidRPr="003377DB" w:rsidRDefault="003377DB" w:rsidP="003377DB">
      <w:pPr>
        <w:pStyle w:val="Default"/>
        <w:rPr>
          <w:rFonts w:asciiTheme="minorHAnsi" w:hAnsiTheme="minorHAnsi"/>
          <w:color w:val="4472C4" w:themeColor="accent5"/>
          <w:sz w:val="20"/>
          <w:szCs w:val="20"/>
        </w:rPr>
      </w:pPr>
    </w:p>
    <w:p w:rsidR="003377DB" w:rsidRPr="00115159" w:rsidRDefault="003377DB" w:rsidP="00D57634">
      <w:pPr>
        <w:pStyle w:val="Default"/>
        <w:numPr>
          <w:ilvl w:val="0"/>
          <w:numId w:val="3"/>
        </w:numPr>
        <w:rPr>
          <w:rFonts w:asciiTheme="minorHAnsi" w:hAnsiTheme="minorHAnsi"/>
          <w:color w:val="auto"/>
        </w:rPr>
      </w:pPr>
      <w:r w:rsidRPr="00115159">
        <w:rPr>
          <w:rFonts w:asciiTheme="minorHAnsi" w:hAnsiTheme="minorHAnsi"/>
          <w:b/>
          <w:bCs/>
          <w:color w:val="auto"/>
        </w:rPr>
        <w:t xml:space="preserve"> Reviewing this Target Market Determination </w:t>
      </w:r>
    </w:p>
    <w:p w:rsidR="00115159" w:rsidRDefault="00115159" w:rsidP="003377DB">
      <w:pPr>
        <w:pStyle w:val="Default"/>
        <w:rPr>
          <w:rFonts w:asciiTheme="minorHAnsi" w:hAnsiTheme="minorHAnsi"/>
          <w:b/>
          <w:bCs/>
          <w:sz w:val="20"/>
          <w:szCs w:val="20"/>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Initial review </w:t>
      </w:r>
    </w:p>
    <w:p w:rsidR="003377DB" w:rsidRPr="004640DE" w:rsidRDefault="003377DB" w:rsidP="003377DB">
      <w:pPr>
        <w:pStyle w:val="Default"/>
        <w:rPr>
          <w:rFonts w:asciiTheme="minorHAnsi" w:hAnsiTheme="minorHAnsi"/>
          <w:sz w:val="22"/>
          <w:szCs w:val="22"/>
        </w:rPr>
      </w:pPr>
      <w:r w:rsidRPr="004640DE">
        <w:rPr>
          <w:rFonts w:asciiTheme="minorHAnsi" w:hAnsiTheme="minorHAnsi"/>
          <w:sz w:val="22"/>
          <w:szCs w:val="22"/>
        </w:rPr>
        <w:t xml:space="preserve">We will undertake an initial review of this TMD within </w:t>
      </w:r>
      <w:r w:rsidR="00EA6FFD" w:rsidRPr="004640DE">
        <w:rPr>
          <w:rFonts w:asciiTheme="minorHAnsi" w:hAnsiTheme="minorHAnsi"/>
          <w:sz w:val="22"/>
          <w:szCs w:val="22"/>
        </w:rPr>
        <w:t>2</w:t>
      </w:r>
      <w:r w:rsidR="00115159" w:rsidRPr="004640DE">
        <w:rPr>
          <w:rFonts w:asciiTheme="minorHAnsi" w:hAnsiTheme="minorHAnsi"/>
          <w:sz w:val="22"/>
          <w:szCs w:val="22"/>
        </w:rPr>
        <w:t xml:space="preserve"> years </w:t>
      </w:r>
      <w:r w:rsidRPr="004640DE">
        <w:rPr>
          <w:rFonts w:asciiTheme="minorHAnsi" w:hAnsiTheme="minorHAnsi"/>
          <w:sz w:val="22"/>
          <w:szCs w:val="22"/>
        </w:rPr>
        <w:t xml:space="preserve">of the effective date (see section 1). </w:t>
      </w:r>
    </w:p>
    <w:p w:rsidR="00115159" w:rsidRPr="004640DE" w:rsidRDefault="00115159" w:rsidP="003377DB">
      <w:pPr>
        <w:pStyle w:val="Default"/>
        <w:rPr>
          <w:rFonts w:asciiTheme="minorHAnsi" w:hAnsiTheme="minorHAnsi"/>
          <w:b/>
          <w:bCs/>
          <w:sz w:val="22"/>
          <w:szCs w:val="22"/>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Periodic review </w:t>
      </w:r>
    </w:p>
    <w:p w:rsidR="003377DB" w:rsidRPr="004640DE" w:rsidRDefault="003377DB" w:rsidP="003377DB">
      <w:pPr>
        <w:pStyle w:val="Default"/>
        <w:rPr>
          <w:rFonts w:asciiTheme="minorHAnsi" w:hAnsiTheme="minorHAnsi"/>
          <w:sz w:val="22"/>
          <w:szCs w:val="22"/>
        </w:rPr>
      </w:pPr>
      <w:r w:rsidRPr="004640DE">
        <w:rPr>
          <w:rFonts w:asciiTheme="minorHAnsi" w:hAnsiTheme="minorHAnsi"/>
          <w:sz w:val="22"/>
          <w:szCs w:val="22"/>
        </w:rPr>
        <w:t xml:space="preserve">We will undertake periodic reviews of this TMD at least every </w:t>
      </w:r>
      <w:r w:rsidR="00EA6FFD" w:rsidRPr="004640DE">
        <w:rPr>
          <w:rFonts w:asciiTheme="minorHAnsi" w:hAnsiTheme="minorHAnsi"/>
          <w:sz w:val="22"/>
          <w:szCs w:val="22"/>
        </w:rPr>
        <w:t>2</w:t>
      </w:r>
      <w:r w:rsidR="00115159" w:rsidRPr="004640DE">
        <w:rPr>
          <w:rFonts w:asciiTheme="minorHAnsi" w:hAnsiTheme="minorHAnsi"/>
          <w:sz w:val="22"/>
          <w:szCs w:val="22"/>
        </w:rPr>
        <w:t xml:space="preserve"> years</w:t>
      </w:r>
      <w:r w:rsidRPr="004640DE">
        <w:rPr>
          <w:rFonts w:asciiTheme="minorHAnsi" w:hAnsiTheme="minorHAnsi"/>
          <w:i/>
          <w:iCs/>
          <w:sz w:val="22"/>
          <w:szCs w:val="22"/>
        </w:rPr>
        <w:t xml:space="preserve"> </w:t>
      </w:r>
      <w:r w:rsidRPr="004640DE">
        <w:rPr>
          <w:rFonts w:asciiTheme="minorHAnsi" w:hAnsiTheme="minorHAnsi"/>
          <w:sz w:val="22"/>
          <w:szCs w:val="22"/>
        </w:rPr>
        <w:t xml:space="preserve">from the initial review. </w:t>
      </w:r>
    </w:p>
    <w:p w:rsidR="00115159" w:rsidRPr="004640DE" w:rsidRDefault="00115159" w:rsidP="003377DB">
      <w:pPr>
        <w:pStyle w:val="Default"/>
        <w:rPr>
          <w:rFonts w:asciiTheme="minorHAnsi" w:hAnsiTheme="minorHAnsi"/>
          <w:b/>
          <w:bCs/>
          <w:sz w:val="22"/>
          <w:szCs w:val="22"/>
        </w:rPr>
      </w:pPr>
    </w:p>
    <w:p w:rsidR="003377DB" w:rsidRPr="004640DE" w:rsidRDefault="003377DB" w:rsidP="003377DB">
      <w:pPr>
        <w:pStyle w:val="Default"/>
        <w:rPr>
          <w:rFonts w:asciiTheme="minorHAnsi" w:hAnsiTheme="minorHAnsi"/>
          <w:sz w:val="22"/>
          <w:szCs w:val="22"/>
        </w:rPr>
      </w:pPr>
      <w:r w:rsidRPr="004640DE">
        <w:rPr>
          <w:rFonts w:asciiTheme="minorHAnsi" w:hAnsiTheme="minorHAnsi"/>
          <w:b/>
          <w:bCs/>
          <w:sz w:val="22"/>
          <w:szCs w:val="22"/>
        </w:rPr>
        <w:t xml:space="preserve">Review triggers or events </w:t>
      </w:r>
    </w:p>
    <w:p w:rsidR="003377DB" w:rsidRPr="004640DE" w:rsidRDefault="003377DB" w:rsidP="003377DB">
      <w:pPr>
        <w:pStyle w:val="Default"/>
        <w:rPr>
          <w:rFonts w:asciiTheme="minorHAnsi" w:hAnsiTheme="minorHAnsi"/>
          <w:sz w:val="22"/>
          <w:szCs w:val="22"/>
        </w:rPr>
      </w:pPr>
      <w:r w:rsidRPr="004640DE">
        <w:rPr>
          <w:rFonts w:asciiTheme="minorHAnsi" w:hAnsiTheme="minorHAnsi"/>
          <w:sz w:val="22"/>
          <w:szCs w:val="22"/>
        </w:rPr>
        <w:t xml:space="preserve">We will also undertake a review of this TMD in the following circumstances: </w:t>
      </w:r>
    </w:p>
    <w:p w:rsidR="00115159" w:rsidRPr="004640DE" w:rsidRDefault="003377DB" w:rsidP="00115159">
      <w:pPr>
        <w:pStyle w:val="NoSpacing"/>
        <w:numPr>
          <w:ilvl w:val="0"/>
          <w:numId w:val="6"/>
        </w:numPr>
      </w:pPr>
      <w:r w:rsidRPr="004640DE">
        <w:t xml:space="preserve">If we make a material change to the design </w:t>
      </w:r>
      <w:r w:rsidR="00115159" w:rsidRPr="004640DE">
        <w:t xml:space="preserve">or distribution of the product </w:t>
      </w:r>
    </w:p>
    <w:p w:rsidR="00115159" w:rsidRPr="004640DE" w:rsidRDefault="003377DB" w:rsidP="00115159">
      <w:pPr>
        <w:pStyle w:val="NoSpacing"/>
        <w:numPr>
          <w:ilvl w:val="0"/>
          <w:numId w:val="6"/>
        </w:numPr>
      </w:pPr>
      <w:r w:rsidRPr="004640DE">
        <w:t>If a significant inconsistent</w:t>
      </w:r>
      <w:r w:rsidR="00115159" w:rsidRPr="004640DE">
        <w:t xml:space="preserve"> dealing in the product occurs</w:t>
      </w:r>
    </w:p>
    <w:p w:rsidR="00EA6FFD" w:rsidRPr="004640DE" w:rsidRDefault="003377DB" w:rsidP="00EA6FFD">
      <w:pPr>
        <w:pStyle w:val="NoSpacing"/>
        <w:numPr>
          <w:ilvl w:val="0"/>
          <w:numId w:val="6"/>
        </w:numPr>
      </w:pPr>
      <w:r w:rsidRPr="004640DE">
        <w:t xml:space="preserve">If </w:t>
      </w:r>
      <w:r w:rsidR="006646FE" w:rsidRPr="004640DE">
        <w:rPr>
          <w:rFonts w:cs="HelveticaNeue-Light"/>
        </w:rPr>
        <w:t>we receive a significant number of complaints regarding the design or distribution of this product</w:t>
      </w:r>
    </w:p>
    <w:p w:rsidR="00EA6FFD" w:rsidRPr="004640DE" w:rsidRDefault="003377DB" w:rsidP="00EA6FFD">
      <w:pPr>
        <w:pStyle w:val="NoSpacing"/>
        <w:numPr>
          <w:ilvl w:val="0"/>
          <w:numId w:val="6"/>
        </w:numPr>
      </w:pPr>
      <w:r w:rsidRPr="004640DE">
        <w:t xml:space="preserve">If </w:t>
      </w:r>
      <w:r w:rsidR="00EA6FFD" w:rsidRPr="004640DE">
        <w:rPr>
          <w:rFonts w:cs="HelveticaNeue-Light"/>
        </w:rPr>
        <w:t>the business performance and value provided by this product indicate the TMD is no longer appropriate.</w:t>
      </w:r>
    </w:p>
    <w:p w:rsidR="00115159" w:rsidRPr="004640DE" w:rsidRDefault="003377DB" w:rsidP="00EA6FFD">
      <w:pPr>
        <w:pStyle w:val="NoSpacing"/>
        <w:numPr>
          <w:ilvl w:val="0"/>
          <w:numId w:val="6"/>
        </w:numPr>
      </w:pPr>
      <w:r w:rsidRPr="004640DE">
        <w:t>If ASIC raises concerns about the pr</w:t>
      </w:r>
      <w:r w:rsidR="00115159" w:rsidRPr="004640DE">
        <w:t>oduct’s design or distribution</w:t>
      </w:r>
    </w:p>
    <w:p w:rsidR="00115159" w:rsidRPr="004640DE" w:rsidRDefault="003377DB" w:rsidP="00115159">
      <w:pPr>
        <w:pStyle w:val="NoSpacing"/>
        <w:numPr>
          <w:ilvl w:val="0"/>
          <w:numId w:val="6"/>
        </w:numPr>
      </w:pPr>
      <w:r w:rsidRPr="004640DE">
        <w:t>If the Australian Financial Complaints Authority or a Court raise concerns about the product’s design or distribu</w:t>
      </w:r>
      <w:r w:rsidR="00115159" w:rsidRPr="004640DE">
        <w:t>tion</w:t>
      </w:r>
    </w:p>
    <w:p w:rsidR="00115159" w:rsidRPr="004640DE" w:rsidRDefault="003377DB" w:rsidP="00115159">
      <w:pPr>
        <w:pStyle w:val="NoSpacing"/>
        <w:numPr>
          <w:ilvl w:val="0"/>
          <w:numId w:val="6"/>
        </w:numPr>
      </w:pPr>
      <w:r w:rsidRPr="004640DE">
        <w:t xml:space="preserve">If the product’s design or distribution </w:t>
      </w:r>
      <w:r w:rsidR="00115159" w:rsidRPr="004640DE">
        <w:t xml:space="preserve">receive adverse media coverage </w:t>
      </w:r>
    </w:p>
    <w:p w:rsidR="003377DB" w:rsidRPr="004640DE" w:rsidRDefault="003377DB" w:rsidP="00115159">
      <w:pPr>
        <w:pStyle w:val="NoSpacing"/>
        <w:numPr>
          <w:ilvl w:val="0"/>
          <w:numId w:val="6"/>
        </w:numPr>
      </w:pPr>
      <w:r w:rsidRPr="004640DE">
        <w:t xml:space="preserve">If any other event or circumstance occurs indicating that this TMD may no longer be appropriate. </w:t>
      </w:r>
    </w:p>
    <w:p w:rsidR="003377DB" w:rsidRPr="004640DE" w:rsidRDefault="003377DB" w:rsidP="003377DB">
      <w:pPr>
        <w:pStyle w:val="Default"/>
        <w:rPr>
          <w:rFonts w:asciiTheme="minorHAnsi" w:hAnsiTheme="minorHAnsi"/>
          <w:sz w:val="22"/>
          <w:szCs w:val="22"/>
        </w:rPr>
      </w:pPr>
    </w:p>
    <w:p w:rsidR="003377DB" w:rsidRPr="004640DE" w:rsidRDefault="003377DB" w:rsidP="003377DB">
      <w:r w:rsidRPr="004640DE">
        <w:t>Where a review trigger or event occurs, we will review this TMD within 10 business days.</w:t>
      </w:r>
    </w:p>
    <w:p w:rsidR="00245C9D" w:rsidRPr="004640DE" w:rsidRDefault="00471CC5" w:rsidP="00245C9D">
      <w:pPr>
        <w:pStyle w:val="Default"/>
        <w:rPr>
          <w:rFonts w:asciiTheme="minorHAnsi" w:hAnsiTheme="minorHAnsi"/>
          <w:color w:val="auto"/>
          <w:sz w:val="22"/>
          <w:szCs w:val="22"/>
        </w:rPr>
      </w:pPr>
      <w:r>
        <w:rPr>
          <w:rFonts w:asciiTheme="minorHAnsi" w:hAnsiTheme="minorHAnsi"/>
          <w:color w:val="auto"/>
          <w:sz w:val="22"/>
          <w:szCs w:val="22"/>
        </w:rPr>
        <w:t xml:space="preserve"> </w:t>
      </w:r>
      <w:r w:rsidR="00EE3472">
        <w:rPr>
          <w:rFonts w:asciiTheme="minorHAnsi" w:hAnsiTheme="minorHAnsi"/>
          <w:color w:val="auto"/>
          <w:sz w:val="22"/>
          <w:szCs w:val="22"/>
        </w:rPr>
        <w:t xml:space="preserve">   </w:t>
      </w:r>
    </w:p>
    <w:sectPr w:rsidR="00245C9D" w:rsidRPr="004640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634" w:rsidRDefault="00D57634" w:rsidP="00D57634">
      <w:pPr>
        <w:spacing w:after="0" w:line="240" w:lineRule="auto"/>
      </w:pPr>
      <w:r>
        <w:separator/>
      </w:r>
    </w:p>
  </w:endnote>
  <w:endnote w:type="continuationSeparator" w:id="0">
    <w:p w:rsidR="00D57634" w:rsidRDefault="00D57634" w:rsidP="00D5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34" w:rsidRPr="00D57634" w:rsidRDefault="00D57634">
    <w:pPr>
      <w:pStyle w:val="Footer"/>
      <w:rPr>
        <w:i/>
        <w:sz w:val="18"/>
        <w:szCs w:val="18"/>
      </w:rPr>
    </w:pPr>
    <w:r w:rsidRPr="00D57634">
      <w:rPr>
        <w:i/>
        <w:sz w:val="18"/>
        <w:szCs w:val="18"/>
      </w:rPr>
      <w:t xml:space="preserve">Target Market </w:t>
    </w:r>
    <w:r w:rsidRPr="00EA6FFD">
      <w:rPr>
        <w:i/>
        <w:sz w:val="18"/>
        <w:szCs w:val="18"/>
      </w:rPr>
      <w:t xml:space="preserve">Determination – </w:t>
    </w:r>
    <w:r w:rsidR="001144A0">
      <w:rPr>
        <w:i/>
        <w:sz w:val="18"/>
        <w:szCs w:val="18"/>
      </w:rPr>
      <w:t>Fixed Rate Home Loan (L40, L41, L42, L31</w:t>
    </w:r>
    <w:r w:rsidR="00C22809">
      <w:rPr>
        <w:i/>
        <w:sz w:val="18"/>
        <w:szCs w:val="18"/>
      </w:rPr>
      <w:t>)</w:t>
    </w:r>
  </w:p>
  <w:p w:rsidR="00D57634" w:rsidRDefault="00D57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634" w:rsidRDefault="00D57634" w:rsidP="00D57634">
      <w:pPr>
        <w:spacing w:after="0" w:line="240" w:lineRule="auto"/>
      </w:pPr>
      <w:r>
        <w:separator/>
      </w:r>
    </w:p>
  </w:footnote>
  <w:footnote w:type="continuationSeparator" w:id="0">
    <w:p w:rsidR="00D57634" w:rsidRDefault="00D57634" w:rsidP="00D57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927"/>
    <w:multiLevelType w:val="hybridMultilevel"/>
    <w:tmpl w:val="C0C2443C"/>
    <w:lvl w:ilvl="0" w:tplc="CFEE9E5C">
      <w:start w:val="5"/>
      <w:numFmt w:val="bullet"/>
      <w:lvlText w:val="•"/>
      <w:lvlJc w:val="left"/>
      <w:pPr>
        <w:ind w:left="720" w:hanging="360"/>
      </w:pPr>
      <w:rPr>
        <w:rFonts w:ascii="Calibri" w:eastAsiaTheme="minorHAnsi" w:hAnsi="Calibri"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73002"/>
    <w:multiLevelType w:val="hybridMultilevel"/>
    <w:tmpl w:val="3C4A3900"/>
    <w:lvl w:ilvl="0" w:tplc="40FEC550">
      <w:numFmt w:val="bullet"/>
      <w:lvlText w:val="-"/>
      <w:lvlJc w:val="left"/>
      <w:pPr>
        <w:ind w:left="720" w:hanging="360"/>
      </w:pPr>
      <w:rPr>
        <w:rFonts w:ascii="Calibri" w:eastAsiaTheme="minorHAnsi" w:hAnsi="Calibri"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4176A5"/>
    <w:multiLevelType w:val="hybridMultilevel"/>
    <w:tmpl w:val="DF126484"/>
    <w:lvl w:ilvl="0" w:tplc="CFEE9E5C">
      <w:start w:val="5"/>
      <w:numFmt w:val="bullet"/>
      <w:lvlText w:val="•"/>
      <w:lvlJc w:val="left"/>
      <w:pPr>
        <w:ind w:left="1440" w:hanging="360"/>
      </w:pPr>
      <w:rPr>
        <w:rFonts w:ascii="Calibri" w:eastAsiaTheme="minorHAnsi" w:hAnsi="Calibri" w:cs="Verdana"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60E17F5"/>
    <w:multiLevelType w:val="hybridMultilevel"/>
    <w:tmpl w:val="06729B98"/>
    <w:lvl w:ilvl="0" w:tplc="B9F203C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FF16B7"/>
    <w:multiLevelType w:val="hybridMultilevel"/>
    <w:tmpl w:val="56E61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9C4D56"/>
    <w:multiLevelType w:val="hybridMultilevel"/>
    <w:tmpl w:val="4DB6B41C"/>
    <w:lvl w:ilvl="0" w:tplc="F72A892C">
      <w:numFmt w:val="bullet"/>
      <w:lvlText w:val="-"/>
      <w:lvlJc w:val="left"/>
      <w:pPr>
        <w:ind w:left="720" w:hanging="360"/>
      </w:pPr>
      <w:rPr>
        <w:rFonts w:ascii="Calibri" w:eastAsiaTheme="minorHAnsi" w:hAnsi="Calibri"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133345"/>
    <w:multiLevelType w:val="hybridMultilevel"/>
    <w:tmpl w:val="1706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9D2C16"/>
    <w:multiLevelType w:val="hybridMultilevel"/>
    <w:tmpl w:val="F3A49980"/>
    <w:lvl w:ilvl="0" w:tplc="CFEE9E5C">
      <w:start w:val="5"/>
      <w:numFmt w:val="bullet"/>
      <w:lvlText w:val="•"/>
      <w:lvlJc w:val="left"/>
      <w:pPr>
        <w:ind w:left="1080" w:hanging="360"/>
      </w:pPr>
      <w:rPr>
        <w:rFonts w:ascii="Calibri" w:eastAsiaTheme="minorHAnsi" w:hAnsi="Calibri" w:cs="Verdan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73E65CE"/>
    <w:multiLevelType w:val="hybridMultilevel"/>
    <w:tmpl w:val="C1B85566"/>
    <w:lvl w:ilvl="0" w:tplc="F72A892C">
      <w:numFmt w:val="bullet"/>
      <w:lvlText w:val="-"/>
      <w:lvlJc w:val="left"/>
      <w:pPr>
        <w:ind w:left="720" w:hanging="360"/>
      </w:pPr>
      <w:rPr>
        <w:rFonts w:ascii="Calibri" w:eastAsiaTheme="minorHAnsi" w:hAnsi="Calibri" w:cs="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C5323B"/>
    <w:multiLevelType w:val="hybridMultilevel"/>
    <w:tmpl w:val="B678AB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0"/>
  </w:num>
  <w:num w:numId="5">
    <w:abstractNumId w:val="2"/>
  </w:num>
  <w:num w:numId="6">
    <w:abstractNumId w:val="7"/>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9D"/>
    <w:rsid w:val="000522E4"/>
    <w:rsid w:val="000D6DB1"/>
    <w:rsid w:val="001130DF"/>
    <w:rsid w:val="001144A0"/>
    <w:rsid w:val="00115159"/>
    <w:rsid w:val="0011516F"/>
    <w:rsid w:val="00142ADE"/>
    <w:rsid w:val="001A55F1"/>
    <w:rsid w:val="001D1DC7"/>
    <w:rsid w:val="001D3E34"/>
    <w:rsid w:val="00245C9D"/>
    <w:rsid w:val="002C01D0"/>
    <w:rsid w:val="002E2F09"/>
    <w:rsid w:val="003377DB"/>
    <w:rsid w:val="003B4CF0"/>
    <w:rsid w:val="00440969"/>
    <w:rsid w:val="00457F31"/>
    <w:rsid w:val="004640DE"/>
    <w:rsid w:val="00471CC5"/>
    <w:rsid w:val="0048605F"/>
    <w:rsid w:val="00596056"/>
    <w:rsid w:val="005B1B2C"/>
    <w:rsid w:val="006646FE"/>
    <w:rsid w:val="00790BF8"/>
    <w:rsid w:val="00794C03"/>
    <w:rsid w:val="007D17D4"/>
    <w:rsid w:val="00800864"/>
    <w:rsid w:val="008144A1"/>
    <w:rsid w:val="008B0C84"/>
    <w:rsid w:val="008C7B63"/>
    <w:rsid w:val="00922C2B"/>
    <w:rsid w:val="00972490"/>
    <w:rsid w:val="009E2745"/>
    <w:rsid w:val="00A04F3F"/>
    <w:rsid w:val="00A3528C"/>
    <w:rsid w:val="00AC270C"/>
    <w:rsid w:val="00AE2230"/>
    <w:rsid w:val="00B11577"/>
    <w:rsid w:val="00B203EA"/>
    <w:rsid w:val="00B72A38"/>
    <w:rsid w:val="00B73B3B"/>
    <w:rsid w:val="00BC5109"/>
    <w:rsid w:val="00BD6A0B"/>
    <w:rsid w:val="00C22809"/>
    <w:rsid w:val="00C40D38"/>
    <w:rsid w:val="00D13037"/>
    <w:rsid w:val="00D57634"/>
    <w:rsid w:val="00E77157"/>
    <w:rsid w:val="00EA6FFD"/>
    <w:rsid w:val="00EA70AA"/>
    <w:rsid w:val="00EE3472"/>
    <w:rsid w:val="00EF4AD8"/>
    <w:rsid w:val="00F3097E"/>
    <w:rsid w:val="00F90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9339"/>
  <w15:chartTrackingRefBased/>
  <w15:docId w15:val="{B63D4602-926E-432C-ADE6-11F9BD2D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3528C"/>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C9D"/>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45C9D"/>
    <w:pPr>
      <w:ind w:left="720"/>
      <w:contextualSpacing/>
    </w:pPr>
  </w:style>
  <w:style w:type="table" w:styleId="TableGrid">
    <w:name w:val="Table Grid"/>
    <w:basedOn w:val="TableNormal"/>
    <w:uiPriority w:val="39"/>
    <w:rsid w:val="00AE2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5159"/>
    <w:pPr>
      <w:spacing w:after="0" w:line="240" w:lineRule="auto"/>
    </w:pPr>
  </w:style>
  <w:style w:type="paragraph" w:styleId="Header">
    <w:name w:val="header"/>
    <w:basedOn w:val="Normal"/>
    <w:link w:val="HeaderChar"/>
    <w:uiPriority w:val="99"/>
    <w:unhideWhenUsed/>
    <w:rsid w:val="00D57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634"/>
  </w:style>
  <w:style w:type="paragraph" w:styleId="Footer">
    <w:name w:val="footer"/>
    <w:basedOn w:val="Normal"/>
    <w:link w:val="FooterChar"/>
    <w:uiPriority w:val="99"/>
    <w:unhideWhenUsed/>
    <w:rsid w:val="00D57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634"/>
  </w:style>
  <w:style w:type="paragraph" w:styleId="BalloonText">
    <w:name w:val="Balloon Text"/>
    <w:basedOn w:val="Normal"/>
    <w:link w:val="BalloonTextChar"/>
    <w:uiPriority w:val="99"/>
    <w:semiHidden/>
    <w:unhideWhenUsed/>
    <w:rsid w:val="00D57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634"/>
    <w:rPr>
      <w:rFonts w:ascii="Segoe UI" w:hAnsi="Segoe UI" w:cs="Segoe UI"/>
      <w:sz w:val="18"/>
      <w:szCs w:val="18"/>
    </w:rPr>
  </w:style>
  <w:style w:type="character" w:styleId="Hyperlink">
    <w:name w:val="Hyperlink"/>
    <w:basedOn w:val="DefaultParagraphFont"/>
    <w:uiPriority w:val="99"/>
    <w:unhideWhenUsed/>
    <w:rsid w:val="00972490"/>
    <w:rPr>
      <w:color w:val="0563C1" w:themeColor="hyperlink"/>
      <w:u w:val="single"/>
    </w:rPr>
  </w:style>
  <w:style w:type="character" w:customStyle="1" w:styleId="Heading5Char">
    <w:name w:val="Heading 5 Char"/>
    <w:basedOn w:val="DefaultParagraphFont"/>
    <w:link w:val="Heading5"/>
    <w:uiPriority w:val="9"/>
    <w:rsid w:val="00A3528C"/>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45177">
      <w:bodyDiv w:val="1"/>
      <w:marLeft w:val="0"/>
      <w:marRight w:val="0"/>
      <w:marTop w:val="0"/>
      <w:marBottom w:val="0"/>
      <w:divBdr>
        <w:top w:val="none" w:sz="0" w:space="0" w:color="auto"/>
        <w:left w:val="none" w:sz="0" w:space="0" w:color="auto"/>
        <w:bottom w:val="none" w:sz="0" w:space="0" w:color="auto"/>
        <w:right w:val="none" w:sz="0" w:space="0" w:color="auto"/>
      </w:divBdr>
    </w:div>
    <w:div w:id="867985532">
      <w:bodyDiv w:val="1"/>
      <w:marLeft w:val="0"/>
      <w:marRight w:val="0"/>
      <w:marTop w:val="0"/>
      <w:marBottom w:val="0"/>
      <w:divBdr>
        <w:top w:val="none" w:sz="0" w:space="0" w:color="auto"/>
        <w:left w:val="none" w:sz="0" w:space="0" w:color="auto"/>
        <w:bottom w:val="none" w:sz="0" w:space="0" w:color="auto"/>
        <w:right w:val="none" w:sz="0" w:space="0" w:color="auto"/>
      </w:divBdr>
    </w:div>
    <w:div w:id="21241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izonbank.infocast.com.au/home-loan-key-fact-sheets.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Williams</dc:creator>
  <cp:keywords/>
  <dc:description/>
  <cp:lastModifiedBy>Tony Williams</cp:lastModifiedBy>
  <cp:revision>4</cp:revision>
  <cp:lastPrinted>2021-06-02T06:09:00Z</cp:lastPrinted>
  <dcterms:created xsi:type="dcterms:W3CDTF">2021-08-23T04:40:00Z</dcterms:created>
  <dcterms:modified xsi:type="dcterms:W3CDTF">2021-08-25T04:59:00Z</dcterms:modified>
</cp:coreProperties>
</file>